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960F6" w14:textId="371BE9F1" w:rsidR="00310C01" w:rsidRPr="003176BD" w:rsidRDefault="00932A53" w:rsidP="00932A53">
      <w:pPr>
        <w:spacing w:after="0"/>
        <w:jc w:val="right"/>
        <w:rPr>
          <w:rFonts w:ascii="Arial" w:hAnsi="Arial" w:cs="Arial"/>
          <w:b/>
          <w:bCs/>
          <w:lang w:val="es-UY"/>
        </w:rPr>
      </w:pPr>
      <w:r w:rsidRPr="00083599">
        <w:rPr>
          <w:rFonts w:ascii="Arial" w:eastAsia="Arial" w:hAnsi="Arial" w:cs="Arial"/>
          <w:noProof/>
          <w:sz w:val="20"/>
          <w:szCs w:val="20"/>
          <w:lang w:val="en-JM"/>
        </w:rPr>
        <w:drawing>
          <wp:anchor distT="0" distB="0" distL="114300" distR="114300" simplePos="0" relativeHeight="251659264" behindDoc="1" locked="0" layoutInCell="1" allowOverlap="1" wp14:anchorId="6852C186" wp14:editId="47AC452D">
            <wp:simplePos x="0" y="0"/>
            <wp:positionH relativeFrom="margin">
              <wp:posOffset>-69850</wp:posOffset>
            </wp:positionH>
            <wp:positionV relativeFrom="paragraph">
              <wp:posOffset>0</wp:posOffset>
            </wp:positionV>
            <wp:extent cx="1614805" cy="1477010"/>
            <wp:effectExtent l="0" t="0" r="4445" b="8890"/>
            <wp:wrapTight wrapText="bothSides">
              <wp:wrapPolygon edited="0">
                <wp:start x="0" y="0"/>
                <wp:lineTo x="0" y="21451"/>
                <wp:lineTo x="21405" y="21451"/>
                <wp:lineTo x="21405" y="0"/>
                <wp:lineTo x="0" y="0"/>
              </wp:wrapPolygon>
            </wp:wrapTight>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1614805" cy="1477010"/>
                    </a:xfrm>
                    <a:prstGeom prst="rect">
                      <a:avLst/>
                    </a:prstGeom>
                    <a:ln/>
                  </pic:spPr>
                </pic:pic>
              </a:graphicData>
            </a:graphic>
            <wp14:sizeRelH relativeFrom="page">
              <wp14:pctWidth>0</wp14:pctWidth>
            </wp14:sizeRelH>
            <wp14:sizeRelV relativeFrom="page">
              <wp14:pctHeight>0</wp14:pctHeight>
            </wp14:sizeRelV>
          </wp:anchor>
        </w:drawing>
      </w:r>
      <w:r w:rsidR="00310C01" w:rsidRPr="003176BD">
        <w:rPr>
          <w:rFonts w:ascii="Arial" w:hAnsi="Arial" w:cs="Arial"/>
          <w:b/>
          <w:bCs/>
          <w:lang w:val="es-UY"/>
        </w:rPr>
        <w:t>ORIGINAL: ENGLISH</w:t>
      </w:r>
    </w:p>
    <w:p w14:paraId="6C2335F4" w14:textId="302B8526" w:rsidR="00310C01" w:rsidRPr="003176BD" w:rsidRDefault="000B4AC6" w:rsidP="00932A53">
      <w:pPr>
        <w:spacing w:after="0"/>
        <w:jc w:val="right"/>
        <w:rPr>
          <w:rFonts w:ascii="Arial" w:hAnsi="Arial" w:cs="Arial"/>
          <w:b/>
          <w:bCs/>
          <w:lang w:val="es-UY"/>
        </w:rPr>
      </w:pPr>
      <w:r w:rsidRPr="003176BD">
        <w:rPr>
          <w:rFonts w:ascii="Arial" w:hAnsi="Arial" w:cs="Arial"/>
          <w:b/>
          <w:bCs/>
          <w:highlight w:val="yellow"/>
          <w:lang w:val="es-UY"/>
        </w:rPr>
        <w:t xml:space="preserve">13 </w:t>
      </w:r>
      <w:r w:rsidR="00310C01" w:rsidRPr="003176BD">
        <w:rPr>
          <w:rFonts w:ascii="Arial" w:hAnsi="Arial" w:cs="Arial"/>
          <w:b/>
          <w:bCs/>
          <w:highlight w:val="yellow"/>
          <w:lang w:val="es-UY"/>
        </w:rPr>
        <w:t>MAY 202</w:t>
      </w:r>
      <w:r w:rsidRPr="003176BD">
        <w:rPr>
          <w:rFonts w:ascii="Arial" w:hAnsi="Arial" w:cs="Arial"/>
          <w:b/>
          <w:bCs/>
          <w:lang w:val="es-UY"/>
        </w:rPr>
        <w:t>4</w:t>
      </w:r>
    </w:p>
    <w:p w14:paraId="49BE3BB7" w14:textId="77777777" w:rsidR="006D2F4F" w:rsidRPr="003176BD" w:rsidRDefault="006D2F4F" w:rsidP="00310C01">
      <w:pPr>
        <w:rPr>
          <w:rFonts w:ascii="Arial" w:hAnsi="Arial" w:cs="Arial"/>
          <w:b/>
          <w:bCs/>
          <w:lang w:val="es-UY"/>
        </w:rPr>
      </w:pPr>
    </w:p>
    <w:p w14:paraId="70C3E559" w14:textId="77777777" w:rsidR="00932A53" w:rsidRPr="003176BD" w:rsidRDefault="00932A53" w:rsidP="00310C01">
      <w:pPr>
        <w:rPr>
          <w:rFonts w:ascii="Arial" w:hAnsi="Arial" w:cs="Arial"/>
          <w:b/>
          <w:bCs/>
          <w:lang w:val="es-UY"/>
        </w:rPr>
      </w:pPr>
    </w:p>
    <w:p w14:paraId="5EA4838E" w14:textId="77777777" w:rsidR="00932A53" w:rsidRPr="003176BD" w:rsidRDefault="00932A53" w:rsidP="00310C01">
      <w:pPr>
        <w:rPr>
          <w:rFonts w:ascii="Arial" w:hAnsi="Arial" w:cs="Arial"/>
          <w:b/>
          <w:bCs/>
          <w:lang w:val="es-UY"/>
        </w:rPr>
      </w:pPr>
    </w:p>
    <w:p w14:paraId="08032282" w14:textId="77777777" w:rsidR="00932A53" w:rsidRPr="003176BD" w:rsidRDefault="00932A53" w:rsidP="00310C01">
      <w:pPr>
        <w:rPr>
          <w:rFonts w:ascii="Arial" w:hAnsi="Arial" w:cs="Arial"/>
          <w:b/>
          <w:bCs/>
          <w:lang w:val="es-UY"/>
        </w:rPr>
      </w:pPr>
    </w:p>
    <w:p w14:paraId="0A0AE502" w14:textId="77777777" w:rsidR="00932A53" w:rsidRPr="003176BD" w:rsidRDefault="00932A53" w:rsidP="00932A53">
      <w:pPr>
        <w:spacing w:after="0"/>
        <w:rPr>
          <w:rFonts w:ascii="Arial" w:hAnsi="Arial" w:cs="Arial"/>
          <w:b/>
          <w:bCs/>
          <w:lang w:val="es-UY"/>
        </w:rPr>
      </w:pPr>
    </w:p>
    <w:p w14:paraId="2604C2B6" w14:textId="77777777" w:rsidR="00932A53" w:rsidRPr="003176BD" w:rsidRDefault="00932A53" w:rsidP="00932A53">
      <w:pPr>
        <w:spacing w:after="0"/>
        <w:rPr>
          <w:rFonts w:ascii="Arial" w:hAnsi="Arial" w:cs="Arial"/>
          <w:b/>
          <w:bCs/>
          <w:lang w:val="es-UY"/>
        </w:rPr>
      </w:pPr>
    </w:p>
    <w:p w14:paraId="08A18279" w14:textId="12809E69" w:rsidR="004E5840" w:rsidRPr="00B668BF" w:rsidRDefault="004E5840" w:rsidP="00932A53">
      <w:pPr>
        <w:spacing w:after="0"/>
        <w:rPr>
          <w:rFonts w:ascii="Arial" w:hAnsi="Arial" w:cs="Arial"/>
          <w:b/>
          <w:bCs/>
          <w:lang w:val="es-UY"/>
        </w:rPr>
      </w:pPr>
      <w:r w:rsidRPr="00B668BF">
        <w:rPr>
          <w:rFonts w:ascii="Arial" w:hAnsi="Arial" w:cs="Arial"/>
          <w:b/>
          <w:bCs/>
          <w:lang w:val="es-UY"/>
        </w:rPr>
        <w:t xml:space="preserve">CONFERENCIA DE LAS PARTES </w:t>
      </w:r>
    </w:p>
    <w:p w14:paraId="5256BEA5" w14:textId="03A3252E" w:rsidR="004E5840" w:rsidRPr="00B668BF" w:rsidRDefault="004E5840" w:rsidP="00932A53">
      <w:pPr>
        <w:spacing w:after="0"/>
        <w:rPr>
          <w:rFonts w:ascii="Arial" w:hAnsi="Arial" w:cs="Arial"/>
          <w:b/>
          <w:bCs/>
          <w:lang w:val="es-UY"/>
        </w:rPr>
      </w:pPr>
      <w:r w:rsidRPr="00B668BF">
        <w:rPr>
          <w:rFonts w:ascii="Arial" w:hAnsi="Arial" w:cs="Arial"/>
          <w:b/>
          <w:bCs/>
          <w:lang w:val="es-UY"/>
        </w:rPr>
        <w:t>DEL INSTITUTO INTERAMERICANO PARA</w:t>
      </w:r>
    </w:p>
    <w:p w14:paraId="1D684412" w14:textId="23F6C23C" w:rsidR="00310C01" w:rsidRPr="00B668BF" w:rsidRDefault="004E5840" w:rsidP="00932A53">
      <w:pPr>
        <w:spacing w:after="0"/>
        <w:rPr>
          <w:rFonts w:ascii="Arial" w:hAnsi="Arial" w:cs="Arial"/>
          <w:b/>
          <w:bCs/>
          <w:lang w:val="es-UY"/>
        </w:rPr>
      </w:pPr>
      <w:r w:rsidRPr="00B668BF">
        <w:rPr>
          <w:rFonts w:ascii="Arial" w:hAnsi="Arial" w:cs="Arial"/>
          <w:b/>
          <w:bCs/>
          <w:lang w:val="es-UY"/>
        </w:rPr>
        <w:t>LA INVESTIGACIÓN DEL CAMBIO GLOBAL</w:t>
      </w:r>
    </w:p>
    <w:p w14:paraId="685458CE" w14:textId="135335F6" w:rsidR="00310C01" w:rsidRPr="00B668BF" w:rsidRDefault="004E5840" w:rsidP="00932A53">
      <w:pPr>
        <w:spacing w:after="0"/>
        <w:rPr>
          <w:rFonts w:ascii="Arial" w:hAnsi="Arial" w:cs="Arial"/>
          <w:b/>
          <w:bCs/>
          <w:lang w:val="es-UY"/>
        </w:rPr>
      </w:pPr>
      <w:r w:rsidRPr="00B668BF">
        <w:rPr>
          <w:rFonts w:ascii="Arial" w:hAnsi="Arial" w:cs="Arial"/>
          <w:b/>
          <w:bCs/>
          <w:lang w:val="es-UY"/>
        </w:rPr>
        <w:t>Trigésimo Segunda reunión</w:t>
      </w:r>
    </w:p>
    <w:p w14:paraId="14882705" w14:textId="6886E5B0" w:rsidR="00310C01" w:rsidRPr="00B668BF" w:rsidRDefault="00B52E0C" w:rsidP="00932A53">
      <w:pPr>
        <w:spacing w:after="0"/>
        <w:rPr>
          <w:rFonts w:ascii="Arial" w:hAnsi="Arial" w:cs="Arial"/>
          <w:b/>
          <w:bCs/>
          <w:lang w:val="es-UY"/>
        </w:rPr>
      </w:pPr>
      <w:r w:rsidRPr="00B668BF">
        <w:rPr>
          <w:rFonts w:ascii="Arial" w:hAnsi="Arial" w:cs="Arial"/>
          <w:b/>
          <w:bCs/>
          <w:lang w:val="es-UY"/>
        </w:rPr>
        <w:t>Videoconferenc</w:t>
      </w:r>
      <w:r w:rsidR="004E5840" w:rsidRPr="00B668BF">
        <w:rPr>
          <w:rFonts w:ascii="Arial" w:hAnsi="Arial" w:cs="Arial"/>
          <w:b/>
          <w:bCs/>
          <w:lang w:val="es-UY"/>
        </w:rPr>
        <w:t>ia</w:t>
      </w:r>
    </w:p>
    <w:p w14:paraId="68B22259" w14:textId="486E302C" w:rsidR="00310C01" w:rsidRPr="00B668BF" w:rsidRDefault="00310C01" w:rsidP="00932A53">
      <w:pPr>
        <w:spacing w:after="0"/>
        <w:rPr>
          <w:rFonts w:ascii="Arial" w:hAnsi="Arial" w:cs="Arial"/>
          <w:b/>
          <w:bCs/>
          <w:lang w:val="es-UY"/>
        </w:rPr>
      </w:pPr>
      <w:r w:rsidRPr="00B668BF">
        <w:rPr>
          <w:rFonts w:ascii="Arial" w:hAnsi="Arial" w:cs="Arial"/>
          <w:b/>
          <w:bCs/>
          <w:lang w:val="es-UY"/>
        </w:rPr>
        <w:t>2</w:t>
      </w:r>
      <w:r w:rsidR="00B52E0C" w:rsidRPr="00B668BF">
        <w:rPr>
          <w:rFonts w:ascii="Arial" w:hAnsi="Arial" w:cs="Arial"/>
          <w:b/>
          <w:bCs/>
          <w:lang w:val="es-UY"/>
        </w:rPr>
        <w:t>2</w:t>
      </w:r>
      <w:r w:rsidR="004E5840" w:rsidRPr="00B668BF">
        <w:rPr>
          <w:rFonts w:ascii="Arial" w:hAnsi="Arial" w:cs="Arial"/>
          <w:b/>
          <w:bCs/>
          <w:lang w:val="es-UY"/>
        </w:rPr>
        <w:t xml:space="preserve"> y </w:t>
      </w:r>
      <w:r w:rsidR="00B52E0C" w:rsidRPr="00B668BF">
        <w:rPr>
          <w:rFonts w:ascii="Arial" w:hAnsi="Arial" w:cs="Arial"/>
          <w:b/>
          <w:bCs/>
          <w:lang w:val="es-UY"/>
        </w:rPr>
        <w:t>23</w:t>
      </w:r>
      <w:r w:rsidRPr="00B668BF">
        <w:rPr>
          <w:rFonts w:ascii="Arial" w:hAnsi="Arial" w:cs="Arial"/>
          <w:b/>
          <w:bCs/>
          <w:lang w:val="es-UY"/>
        </w:rPr>
        <w:t xml:space="preserve"> </w:t>
      </w:r>
      <w:r w:rsidR="004E5840" w:rsidRPr="00B668BF">
        <w:rPr>
          <w:rFonts w:ascii="Arial" w:hAnsi="Arial" w:cs="Arial"/>
          <w:b/>
          <w:bCs/>
          <w:lang w:val="es-UY"/>
        </w:rPr>
        <w:t>de m</w:t>
      </w:r>
      <w:r w:rsidR="00B52E0C" w:rsidRPr="00B668BF">
        <w:rPr>
          <w:rFonts w:ascii="Arial" w:hAnsi="Arial" w:cs="Arial"/>
          <w:b/>
          <w:bCs/>
          <w:lang w:val="es-UY"/>
        </w:rPr>
        <w:t>ay</w:t>
      </w:r>
      <w:r w:rsidR="004E5840" w:rsidRPr="00B668BF">
        <w:rPr>
          <w:rFonts w:ascii="Arial" w:hAnsi="Arial" w:cs="Arial"/>
          <w:b/>
          <w:bCs/>
          <w:lang w:val="es-UY"/>
        </w:rPr>
        <w:t>o de</w:t>
      </w:r>
      <w:r w:rsidRPr="00B668BF">
        <w:rPr>
          <w:rFonts w:ascii="Arial" w:hAnsi="Arial" w:cs="Arial"/>
          <w:b/>
          <w:bCs/>
          <w:lang w:val="es-UY"/>
        </w:rPr>
        <w:t xml:space="preserve"> 202</w:t>
      </w:r>
      <w:r w:rsidR="00B52E0C" w:rsidRPr="00B668BF">
        <w:rPr>
          <w:rFonts w:ascii="Arial" w:hAnsi="Arial" w:cs="Arial"/>
          <w:b/>
          <w:bCs/>
          <w:lang w:val="es-UY"/>
        </w:rPr>
        <w:t>4</w:t>
      </w:r>
    </w:p>
    <w:p w14:paraId="2C6A125D" w14:textId="2336B7ED" w:rsidR="00310C01" w:rsidRPr="00B668BF" w:rsidRDefault="00310C01" w:rsidP="00932A53">
      <w:pPr>
        <w:spacing w:after="0"/>
        <w:rPr>
          <w:rFonts w:ascii="Arial" w:hAnsi="Arial" w:cs="Arial"/>
          <w:b/>
          <w:bCs/>
          <w:lang w:val="es-UY"/>
        </w:rPr>
      </w:pPr>
      <w:r w:rsidRPr="00B668BF">
        <w:rPr>
          <w:rFonts w:ascii="Arial" w:hAnsi="Arial" w:cs="Arial"/>
          <w:b/>
          <w:bCs/>
          <w:lang w:val="es-UY"/>
        </w:rPr>
        <w:t>Document</w:t>
      </w:r>
      <w:r w:rsidR="004E5840" w:rsidRPr="00B668BF">
        <w:rPr>
          <w:rFonts w:ascii="Arial" w:hAnsi="Arial" w:cs="Arial"/>
          <w:b/>
          <w:bCs/>
          <w:lang w:val="es-UY"/>
        </w:rPr>
        <w:t>o Informativo</w:t>
      </w:r>
      <w:r w:rsidRPr="00B668BF">
        <w:rPr>
          <w:rFonts w:ascii="Arial" w:hAnsi="Arial" w:cs="Arial"/>
          <w:b/>
          <w:bCs/>
          <w:lang w:val="es-UY"/>
        </w:rPr>
        <w:t xml:space="preserve"> #</w:t>
      </w:r>
    </w:p>
    <w:p w14:paraId="51B34952" w14:textId="77777777" w:rsidR="006D2F4F" w:rsidRPr="00B668BF" w:rsidRDefault="006D2F4F" w:rsidP="00310C01">
      <w:pPr>
        <w:rPr>
          <w:rFonts w:ascii="Arial" w:hAnsi="Arial" w:cs="Arial"/>
          <w:b/>
          <w:bCs/>
          <w:lang w:val="es-UY"/>
        </w:rPr>
      </w:pPr>
    </w:p>
    <w:p w14:paraId="49A01514" w14:textId="04F435FF" w:rsidR="00310C01" w:rsidRPr="00B668BF" w:rsidRDefault="004E5840" w:rsidP="00932A53">
      <w:pPr>
        <w:tabs>
          <w:tab w:val="left" w:pos="3290"/>
        </w:tabs>
        <w:jc w:val="center"/>
        <w:rPr>
          <w:rFonts w:ascii="Arial" w:hAnsi="Arial" w:cs="Arial"/>
          <w:b/>
          <w:bCs/>
          <w:lang w:val="es-UY"/>
        </w:rPr>
      </w:pPr>
      <w:r w:rsidRPr="00B668BF">
        <w:rPr>
          <w:rFonts w:ascii="Arial" w:hAnsi="Arial" w:cs="Arial"/>
          <w:b/>
          <w:bCs/>
          <w:lang w:val="es-UY"/>
        </w:rPr>
        <w:t>Actualización del Programa</w:t>
      </w:r>
      <w:r w:rsidR="00F95F81" w:rsidRPr="00B668BF">
        <w:rPr>
          <w:rFonts w:ascii="Arial" w:hAnsi="Arial" w:cs="Arial"/>
          <w:b/>
          <w:bCs/>
          <w:lang w:val="es-UY"/>
        </w:rPr>
        <w:t xml:space="preserve">: </w:t>
      </w:r>
      <w:proofErr w:type="spellStart"/>
      <w:r w:rsidRPr="00B668BF">
        <w:rPr>
          <w:rFonts w:ascii="Arial" w:hAnsi="Arial" w:cs="Arial"/>
          <w:b/>
          <w:bCs/>
          <w:lang w:val="es-UY"/>
        </w:rPr>
        <w:t>Fellowship</w:t>
      </w:r>
      <w:proofErr w:type="spellEnd"/>
      <w:r w:rsidRPr="00B668BF">
        <w:rPr>
          <w:rFonts w:ascii="Arial" w:hAnsi="Arial" w:cs="Arial"/>
          <w:b/>
          <w:bCs/>
          <w:lang w:val="es-UY"/>
        </w:rPr>
        <w:t xml:space="preserve"> de Ciencia, Tecnología y Políticas </w:t>
      </w:r>
    </w:p>
    <w:p w14:paraId="1D5577F0" w14:textId="791C9552" w:rsidR="00310C01" w:rsidRPr="00B668BF" w:rsidRDefault="004E5840" w:rsidP="005B0782">
      <w:pPr>
        <w:pStyle w:val="NormalWeb"/>
        <w:numPr>
          <w:ilvl w:val="0"/>
          <w:numId w:val="10"/>
        </w:numPr>
        <w:spacing w:before="0" w:beforeAutospacing="0" w:after="0" w:afterAutospacing="0"/>
        <w:rPr>
          <w:rFonts w:ascii="Arial" w:hAnsi="Arial" w:cs="Arial"/>
          <w:sz w:val="22"/>
          <w:szCs w:val="22"/>
          <w:lang w:val="es-UY"/>
        </w:rPr>
      </w:pPr>
      <w:r w:rsidRPr="00B668BF">
        <w:rPr>
          <w:rFonts w:ascii="Arial" w:hAnsi="Arial" w:cs="Arial"/>
          <w:sz w:val="22"/>
          <w:szCs w:val="22"/>
          <w:lang w:val="es-UY"/>
        </w:rPr>
        <w:t xml:space="preserve">Este documento informative ha sido preparado por la Dirección Ejecutiva del </w:t>
      </w:r>
      <w:r w:rsidR="00310C01" w:rsidRPr="00B668BF">
        <w:rPr>
          <w:rFonts w:ascii="Arial" w:hAnsi="Arial" w:cs="Arial"/>
          <w:sz w:val="22"/>
          <w:szCs w:val="22"/>
          <w:lang w:val="es-UY"/>
        </w:rPr>
        <w:t>IAI</w:t>
      </w:r>
      <w:r w:rsidR="005B0782" w:rsidRPr="00B668BF">
        <w:rPr>
          <w:rFonts w:ascii="Arial" w:hAnsi="Arial" w:cs="Arial"/>
          <w:sz w:val="22"/>
          <w:szCs w:val="22"/>
          <w:lang w:val="es-UY"/>
        </w:rPr>
        <w:t>.</w:t>
      </w:r>
    </w:p>
    <w:p w14:paraId="4E475555" w14:textId="77777777" w:rsidR="005B0782" w:rsidRPr="00B668BF" w:rsidRDefault="005B0782" w:rsidP="005B0782">
      <w:pPr>
        <w:pStyle w:val="Prrafodelista"/>
        <w:spacing w:after="0" w:line="240" w:lineRule="auto"/>
        <w:rPr>
          <w:rFonts w:ascii="Arial" w:hAnsi="Arial" w:cs="Arial"/>
          <w:bCs/>
          <w:lang w:val="es-UY"/>
        </w:rPr>
      </w:pPr>
    </w:p>
    <w:p w14:paraId="0CEEF0D3" w14:textId="65480D4F" w:rsidR="004E5840" w:rsidRPr="00B668BF" w:rsidRDefault="004E5840" w:rsidP="00961D3B">
      <w:pPr>
        <w:pStyle w:val="NormalWeb"/>
        <w:numPr>
          <w:ilvl w:val="0"/>
          <w:numId w:val="10"/>
        </w:numPr>
        <w:spacing w:before="0" w:beforeAutospacing="0" w:after="0" w:afterAutospacing="0"/>
        <w:rPr>
          <w:rFonts w:ascii="Arial" w:hAnsi="Arial" w:cs="Arial"/>
          <w:sz w:val="22"/>
          <w:szCs w:val="22"/>
          <w:lang w:val="es-UY"/>
        </w:rPr>
      </w:pPr>
      <w:r w:rsidRPr="00B668BF">
        <w:rPr>
          <w:rFonts w:ascii="Arial" w:hAnsi="Arial" w:cs="Arial"/>
          <w:sz w:val="22"/>
          <w:szCs w:val="22"/>
          <w:lang w:val="es-UY"/>
        </w:rPr>
        <w:t>La Conferencia de las Partes, en su 27ª reunión</w:t>
      </w:r>
      <w:r w:rsidR="00310C01" w:rsidRPr="00B668BF">
        <w:rPr>
          <w:rFonts w:ascii="Arial" w:hAnsi="Arial" w:cs="Arial"/>
          <w:sz w:val="22"/>
          <w:szCs w:val="22"/>
          <w:lang w:val="es-UY"/>
        </w:rPr>
        <w:t>, adopt</w:t>
      </w:r>
      <w:r w:rsidRPr="00B668BF">
        <w:rPr>
          <w:rFonts w:ascii="Arial" w:hAnsi="Arial" w:cs="Arial"/>
          <w:sz w:val="22"/>
          <w:szCs w:val="22"/>
          <w:lang w:val="es-UY"/>
        </w:rPr>
        <w:t xml:space="preserve">ó la </w:t>
      </w:r>
      <w:r w:rsidR="00310C01" w:rsidRPr="00B668BF">
        <w:rPr>
          <w:rFonts w:ascii="Arial" w:hAnsi="Arial" w:cs="Arial"/>
          <w:sz w:val="22"/>
          <w:szCs w:val="22"/>
          <w:lang w:val="es-UY"/>
        </w:rPr>
        <w:t>Decisi</w:t>
      </w:r>
      <w:r w:rsidRPr="00B668BF">
        <w:rPr>
          <w:rFonts w:ascii="Arial" w:hAnsi="Arial" w:cs="Arial"/>
          <w:sz w:val="22"/>
          <w:szCs w:val="22"/>
          <w:lang w:val="es-UY"/>
        </w:rPr>
        <w:t>ó</w:t>
      </w:r>
      <w:r w:rsidR="00310C01" w:rsidRPr="00B668BF">
        <w:rPr>
          <w:rFonts w:ascii="Arial" w:hAnsi="Arial" w:cs="Arial"/>
          <w:sz w:val="22"/>
          <w:szCs w:val="22"/>
          <w:lang w:val="es-UY"/>
        </w:rPr>
        <w:t xml:space="preserve">n XXVII/18 </w:t>
      </w:r>
      <w:r w:rsidRPr="00B668BF">
        <w:rPr>
          <w:rFonts w:ascii="Arial" w:hAnsi="Arial" w:cs="Arial"/>
          <w:sz w:val="22"/>
          <w:szCs w:val="22"/>
          <w:lang w:val="es-UY"/>
        </w:rPr>
        <w:t xml:space="preserve">que establece:   </w:t>
      </w:r>
    </w:p>
    <w:p w14:paraId="2CE10CC1" w14:textId="1833869D" w:rsidR="006D2F4F" w:rsidRPr="00B668BF" w:rsidRDefault="004E5840" w:rsidP="004E5840">
      <w:pPr>
        <w:pStyle w:val="NormalWeb"/>
        <w:spacing w:after="0"/>
        <w:ind w:left="1440"/>
        <w:rPr>
          <w:rFonts w:ascii="Arial" w:hAnsi="Arial" w:cs="Arial"/>
          <w:i/>
          <w:iCs/>
          <w:sz w:val="22"/>
          <w:szCs w:val="22"/>
          <w:lang w:val="es-UY"/>
        </w:rPr>
      </w:pPr>
      <w:r w:rsidRPr="00B668BF">
        <w:rPr>
          <w:rFonts w:ascii="Arial" w:hAnsi="Arial" w:cs="Arial"/>
          <w:i/>
          <w:iCs/>
          <w:sz w:val="22"/>
          <w:szCs w:val="22"/>
          <w:lang w:val="es-UY"/>
        </w:rPr>
        <w:t xml:space="preserve">Se dispone que la Dirección Ejecutiva del IAI implemente el Programa de </w:t>
      </w:r>
      <w:proofErr w:type="spellStart"/>
      <w:r w:rsidRPr="00B668BF">
        <w:rPr>
          <w:rFonts w:ascii="Arial" w:hAnsi="Arial" w:cs="Arial"/>
          <w:i/>
          <w:iCs/>
          <w:sz w:val="22"/>
          <w:szCs w:val="22"/>
          <w:lang w:val="es-UY"/>
        </w:rPr>
        <w:t>Fellowship</w:t>
      </w:r>
      <w:proofErr w:type="spellEnd"/>
      <w:r w:rsidRPr="00B668BF">
        <w:rPr>
          <w:rFonts w:ascii="Arial" w:hAnsi="Arial" w:cs="Arial"/>
          <w:i/>
          <w:iCs/>
          <w:sz w:val="22"/>
          <w:szCs w:val="22"/>
          <w:lang w:val="es-UY"/>
        </w:rPr>
        <w:t xml:space="preserve"> de Ciencia, Tecnología, Políticas (</w:t>
      </w:r>
      <w:proofErr w:type="spellStart"/>
      <w:r w:rsidRPr="00B668BF">
        <w:rPr>
          <w:rFonts w:ascii="Arial" w:hAnsi="Arial" w:cs="Arial"/>
          <w:i/>
          <w:iCs/>
          <w:sz w:val="22"/>
          <w:szCs w:val="22"/>
          <w:lang w:val="es-UY"/>
        </w:rPr>
        <w:t>STeP</w:t>
      </w:r>
      <w:proofErr w:type="spellEnd"/>
      <w:r w:rsidRPr="00B668BF">
        <w:rPr>
          <w:rFonts w:ascii="Arial" w:hAnsi="Arial" w:cs="Arial"/>
          <w:i/>
          <w:iCs/>
          <w:sz w:val="22"/>
          <w:szCs w:val="22"/>
          <w:lang w:val="es-UY"/>
        </w:rPr>
        <w:t>) del IAI, sujeto a la disponibilidad de recursos financieros externos.</w:t>
      </w:r>
    </w:p>
    <w:p w14:paraId="774A9CC1" w14:textId="4F9B7E87" w:rsidR="00310C01" w:rsidRPr="00B668BF" w:rsidRDefault="004E5840" w:rsidP="006D2F4F">
      <w:pPr>
        <w:pStyle w:val="NormalWeb"/>
        <w:numPr>
          <w:ilvl w:val="0"/>
          <w:numId w:val="10"/>
        </w:numPr>
        <w:rPr>
          <w:rFonts w:ascii="Arial" w:hAnsi="Arial" w:cs="Arial"/>
          <w:i/>
          <w:iCs/>
          <w:sz w:val="22"/>
          <w:szCs w:val="22"/>
          <w:lang w:val="es-UY"/>
        </w:rPr>
      </w:pPr>
      <w:r w:rsidRPr="00B668BF">
        <w:rPr>
          <w:rFonts w:ascii="Arial" w:hAnsi="Arial" w:cs="Arial"/>
          <w:sz w:val="22"/>
          <w:szCs w:val="22"/>
          <w:lang w:val="es-UY"/>
        </w:rPr>
        <w:t xml:space="preserve">El Plan Estratégico del IAI prevé, para finales de 2022, la creación de programas de </w:t>
      </w:r>
      <w:proofErr w:type="spellStart"/>
      <w:r w:rsidR="00A556E9">
        <w:rPr>
          <w:rFonts w:ascii="Arial" w:hAnsi="Arial" w:cs="Arial"/>
          <w:sz w:val="22"/>
          <w:szCs w:val="22"/>
          <w:lang w:val="es-UY"/>
        </w:rPr>
        <w:t>fellowship</w:t>
      </w:r>
      <w:proofErr w:type="spellEnd"/>
      <w:r w:rsidRPr="00B668BF">
        <w:rPr>
          <w:rFonts w:ascii="Arial" w:hAnsi="Arial" w:cs="Arial"/>
          <w:sz w:val="22"/>
          <w:szCs w:val="22"/>
          <w:lang w:val="es-UY"/>
        </w:rPr>
        <w:t xml:space="preserve"> y tutorías para capacitar a científicos que inician su carrera en la interfaz ciencia-política. Personas destacadas que inician su carrera y provienen de múltiples orígenes y disciplinas contribuirán a un grupo de expertos adecuados para contribuir a la investigación futura del IAI y para promover y difundir el trabajo del IAI en sus países y organizaciones de origen. Los </w:t>
      </w:r>
      <w:r w:rsidR="00F47C93" w:rsidRPr="00B668BF">
        <w:rPr>
          <w:rFonts w:ascii="Arial" w:hAnsi="Arial" w:cs="Arial"/>
          <w:sz w:val="22"/>
          <w:szCs w:val="22"/>
          <w:lang w:val="es-UY"/>
        </w:rPr>
        <w:t>fellows</w:t>
      </w:r>
      <w:r w:rsidRPr="00B668BF">
        <w:rPr>
          <w:rFonts w:ascii="Arial" w:hAnsi="Arial" w:cs="Arial"/>
          <w:sz w:val="22"/>
          <w:szCs w:val="22"/>
          <w:lang w:val="es-UY"/>
        </w:rPr>
        <w:t xml:space="preserve"> se emparejan con expertos de alto nivel de los sectores académico y político para capacitar a los aprendices en la interfaz ciencia-política</w:t>
      </w:r>
      <w:r w:rsidR="006B1868" w:rsidRPr="00B668BF">
        <w:rPr>
          <w:rFonts w:ascii="Arial" w:hAnsi="Arial" w:cs="Arial"/>
          <w:sz w:val="22"/>
          <w:szCs w:val="22"/>
          <w:lang w:val="es-UY"/>
        </w:rPr>
        <w:t>:</w:t>
      </w:r>
    </w:p>
    <w:p w14:paraId="61E57F67" w14:textId="4B3FB17E" w:rsidR="00B26B31" w:rsidRPr="00B668BF" w:rsidRDefault="006B1868" w:rsidP="006B1868">
      <w:pPr>
        <w:pStyle w:val="NormalWeb"/>
        <w:ind w:left="720"/>
        <w:rPr>
          <w:rFonts w:ascii="Arial" w:hAnsi="Arial" w:cs="Arial"/>
          <w:sz w:val="22"/>
          <w:szCs w:val="22"/>
          <w:lang w:val="es-UY"/>
        </w:rPr>
      </w:pPr>
      <w:r w:rsidRPr="00B668BF">
        <w:rPr>
          <w:rFonts w:ascii="Arial" w:hAnsi="Arial" w:cs="Arial"/>
          <w:sz w:val="22"/>
          <w:szCs w:val="22"/>
          <w:lang w:val="es-UY"/>
        </w:rPr>
        <w:t>Tema</w:t>
      </w:r>
      <w:r w:rsidR="00310C01" w:rsidRPr="00B668BF">
        <w:rPr>
          <w:rFonts w:ascii="Arial" w:hAnsi="Arial" w:cs="Arial"/>
          <w:sz w:val="22"/>
          <w:szCs w:val="22"/>
          <w:lang w:val="es-UY"/>
        </w:rPr>
        <w:t xml:space="preserve"> 1, </w:t>
      </w:r>
      <w:r w:rsidRPr="00B668BF">
        <w:rPr>
          <w:rFonts w:ascii="Arial" w:hAnsi="Arial" w:cs="Arial"/>
          <w:sz w:val="22"/>
          <w:szCs w:val="22"/>
          <w:lang w:val="es-UY"/>
        </w:rPr>
        <w:t>Meta</w:t>
      </w:r>
      <w:r w:rsidR="00310C01" w:rsidRPr="00B668BF">
        <w:rPr>
          <w:rFonts w:ascii="Arial" w:hAnsi="Arial" w:cs="Arial"/>
          <w:sz w:val="22"/>
          <w:szCs w:val="22"/>
          <w:lang w:val="es-UY"/>
        </w:rPr>
        <w:t xml:space="preserve"> </w:t>
      </w:r>
      <w:r w:rsidR="006D2F4F" w:rsidRPr="00B668BF">
        <w:rPr>
          <w:rFonts w:ascii="Arial" w:hAnsi="Arial" w:cs="Arial"/>
          <w:sz w:val="22"/>
          <w:szCs w:val="22"/>
          <w:lang w:val="es-UY"/>
        </w:rPr>
        <w:t>3</w:t>
      </w:r>
      <w:r w:rsidR="00310C01" w:rsidRPr="00B668BF">
        <w:rPr>
          <w:rFonts w:ascii="Arial" w:hAnsi="Arial" w:cs="Arial"/>
          <w:sz w:val="22"/>
          <w:szCs w:val="22"/>
          <w:lang w:val="es-UY"/>
        </w:rPr>
        <w:t xml:space="preserve">: </w:t>
      </w:r>
      <w:r w:rsidRPr="00B668BF">
        <w:rPr>
          <w:rFonts w:ascii="Arial" w:hAnsi="Arial" w:cs="Arial"/>
          <w:sz w:val="22"/>
          <w:szCs w:val="22"/>
          <w:lang w:val="es-UY"/>
        </w:rPr>
        <w:t xml:space="preserve"> Las Partes han trabajado en colaboración para lograr la visión del IAI de lograr juntos más de lo que un país puede lograr por sí solo. </w:t>
      </w:r>
      <w:proofErr w:type="spellStart"/>
      <w:r w:rsidRPr="00B668BF">
        <w:rPr>
          <w:rFonts w:ascii="Arial" w:hAnsi="Arial" w:cs="Arial"/>
          <w:sz w:val="22"/>
          <w:szCs w:val="22"/>
          <w:lang w:val="es-UY"/>
        </w:rPr>
        <w:t>iii</w:t>
      </w:r>
      <w:proofErr w:type="spellEnd"/>
      <w:r w:rsidRPr="00B668BF">
        <w:rPr>
          <w:rFonts w:ascii="Arial" w:hAnsi="Arial" w:cs="Arial"/>
          <w:sz w:val="22"/>
          <w:szCs w:val="22"/>
          <w:lang w:val="es-UY"/>
        </w:rPr>
        <w:t xml:space="preserve">. El IAI apoya los esfuerzos de creación de capacidades en investigación interdisciplinaria y transdisciplinaria, colaboración e innovación.  </w:t>
      </w:r>
    </w:p>
    <w:p w14:paraId="432B9641" w14:textId="2C0E3CE6" w:rsidR="006D2F4F" w:rsidRPr="00B668BF" w:rsidRDefault="006B1868" w:rsidP="00C8618F">
      <w:pPr>
        <w:spacing w:before="100" w:beforeAutospacing="1" w:after="100" w:afterAutospacing="1" w:line="240" w:lineRule="auto"/>
        <w:jc w:val="both"/>
        <w:outlineLvl w:val="2"/>
        <w:rPr>
          <w:rFonts w:ascii="Arial" w:eastAsia="Times New Roman" w:hAnsi="Arial" w:cs="Arial"/>
          <w:b/>
          <w:bCs/>
          <w:kern w:val="0"/>
          <w:u w:val="single"/>
          <w:lang w:val="es-UY"/>
          <w14:ligatures w14:val="none"/>
        </w:rPr>
      </w:pPr>
      <w:r w:rsidRPr="00B668BF">
        <w:rPr>
          <w:rFonts w:ascii="Arial" w:eastAsia="Times New Roman" w:hAnsi="Arial" w:cs="Arial"/>
          <w:b/>
          <w:bCs/>
          <w:kern w:val="0"/>
          <w:u w:val="single"/>
          <w:lang w:val="es-UY"/>
          <w14:ligatures w14:val="none"/>
        </w:rPr>
        <w:t xml:space="preserve">Acerca del Programa de </w:t>
      </w:r>
      <w:proofErr w:type="spellStart"/>
      <w:r w:rsidRPr="00B668BF">
        <w:rPr>
          <w:rFonts w:ascii="Arial" w:eastAsia="Times New Roman" w:hAnsi="Arial" w:cs="Arial"/>
          <w:b/>
          <w:bCs/>
          <w:kern w:val="0"/>
          <w:u w:val="single"/>
          <w:lang w:val="es-UY"/>
          <w14:ligatures w14:val="none"/>
        </w:rPr>
        <w:t>Fellowship</w:t>
      </w:r>
      <w:proofErr w:type="spellEnd"/>
      <w:r w:rsidRPr="00B668BF">
        <w:rPr>
          <w:rFonts w:ascii="Arial" w:eastAsia="Times New Roman" w:hAnsi="Arial" w:cs="Arial"/>
          <w:b/>
          <w:bCs/>
          <w:kern w:val="0"/>
          <w:u w:val="single"/>
          <w:lang w:val="es-UY"/>
          <w14:ligatures w14:val="none"/>
        </w:rPr>
        <w:t xml:space="preserve"> de Ciencia, Tecnología y Políticas del I</w:t>
      </w:r>
      <w:r w:rsidR="00F95F81" w:rsidRPr="00B668BF">
        <w:rPr>
          <w:rFonts w:ascii="Arial" w:eastAsia="Times New Roman" w:hAnsi="Arial" w:cs="Arial"/>
          <w:b/>
          <w:bCs/>
          <w:kern w:val="0"/>
          <w:u w:val="single"/>
          <w:lang w:val="es-UY"/>
          <w14:ligatures w14:val="none"/>
        </w:rPr>
        <w:t>AI (</w:t>
      </w:r>
      <w:proofErr w:type="spellStart"/>
      <w:r w:rsidR="00F95F81" w:rsidRPr="00B668BF">
        <w:rPr>
          <w:rFonts w:ascii="Arial" w:eastAsia="Times New Roman" w:hAnsi="Arial" w:cs="Arial"/>
          <w:b/>
          <w:bCs/>
          <w:kern w:val="0"/>
          <w:u w:val="single"/>
          <w:lang w:val="es-UY"/>
          <w14:ligatures w14:val="none"/>
        </w:rPr>
        <w:t>STeP</w:t>
      </w:r>
      <w:proofErr w:type="spellEnd"/>
      <w:r w:rsidR="00F95F81" w:rsidRPr="00B668BF">
        <w:rPr>
          <w:rFonts w:ascii="Arial" w:eastAsia="Times New Roman" w:hAnsi="Arial" w:cs="Arial"/>
          <w:b/>
          <w:bCs/>
          <w:kern w:val="0"/>
          <w:u w:val="single"/>
          <w:lang w:val="es-UY"/>
          <w14:ligatures w14:val="none"/>
        </w:rPr>
        <w:t xml:space="preserve">) </w:t>
      </w:r>
      <w:r w:rsidR="00861183" w:rsidRPr="00B668BF">
        <w:rPr>
          <w:rFonts w:ascii="Arial" w:eastAsia="Times New Roman" w:hAnsi="Arial" w:cs="Arial"/>
          <w:b/>
          <w:bCs/>
          <w:kern w:val="0"/>
          <w:u w:val="single"/>
          <w:lang w:val="es-UY"/>
          <w14:ligatures w14:val="none"/>
        </w:rPr>
        <w:t xml:space="preserve"> </w:t>
      </w:r>
    </w:p>
    <w:p w14:paraId="15D6030C" w14:textId="53391D1B" w:rsidR="00C8618F" w:rsidRPr="00B668BF" w:rsidRDefault="006B1868" w:rsidP="00C8618F">
      <w:pPr>
        <w:pStyle w:val="Prrafodelista"/>
        <w:numPr>
          <w:ilvl w:val="0"/>
          <w:numId w:val="10"/>
        </w:numPr>
        <w:spacing w:after="0"/>
        <w:rPr>
          <w:rFonts w:ascii="Arial" w:hAnsi="Arial" w:cs="Arial"/>
          <w:bCs/>
          <w:lang w:val="es-UY"/>
        </w:rPr>
      </w:pPr>
      <w:r w:rsidRPr="00B668BF">
        <w:rPr>
          <w:rFonts w:ascii="Arial" w:hAnsi="Arial" w:cs="Arial"/>
          <w:bCs/>
          <w:lang w:val="es-UY"/>
        </w:rPr>
        <w:t xml:space="preserve">El objetivo de </w:t>
      </w:r>
      <w:proofErr w:type="spellStart"/>
      <w:r w:rsidRPr="00B668BF">
        <w:rPr>
          <w:rFonts w:ascii="Arial" w:hAnsi="Arial" w:cs="Arial"/>
          <w:bCs/>
          <w:lang w:val="es-UY"/>
        </w:rPr>
        <w:t>STeP</w:t>
      </w:r>
      <w:proofErr w:type="spellEnd"/>
      <w:r w:rsidRPr="00B668BF">
        <w:rPr>
          <w:rFonts w:ascii="Arial" w:hAnsi="Arial" w:cs="Arial"/>
          <w:bCs/>
          <w:lang w:val="es-UY"/>
        </w:rPr>
        <w:t xml:space="preserve"> es fortalecer las capacidades humanas e institucionales de los Estados miembros del IAI para proporcionar asesoramiento científico especializado para la elaboración de políticas públicas sobre el cambio global. Los </w:t>
      </w:r>
      <w:proofErr w:type="spellStart"/>
      <w:r w:rsidRPr="00B668BF">
        <w:rPr>
          <w:rFonts w:ascii="Arial" w:hAnsi="Arial" w:cs="Arial"/>
          <w:bCs/>
          <w:lang w:val="es-UY"/>
        </w:rPr>
        <w:t>fellows</w:t>
      </w:r>
      <w:proofErr w:type="spellEnd"/>
      <w:r w:rsidRPr="00B668BF">
        <w:rPr>
          <w:rFonts w:ascii="Arial" w:hAnsi="Arial" w:cs="Arial"/>
          <w:bCs/>
          <w:lang w:val="es-UY"/>
        </w:rPr>
        <w:t xml:space="preserve"> del IAI </w:t>
      </w:r>
      <w:proofErr w:type="spellStart"/>
      <w:r w:rsidRPr="00B668BF">
        <w:rPr>
          <w:rFonts w:ascii="Arial" w:hAnsi="Arial" w:cs="Arial"/>
          <w:bCs/>
          <w:lang w:val="es-UY"/>
        </w:rPr>
        <w:t>STeP</w:t>
      </w:r>
      <w:proofErr w:type="spellEnd"/>
      <w:r w:rsidRPr="00B668BF">
        <w:rPr>
          <w:rFonts w:ascii="Arial" w:hAnsi="Arial" w:cs="Arial"/>
          <w:bCs/>
          <w:lang w:val="es-UY"/>
        </w:rPr>
        <w:t xml:space="preserve"> son científicos y responsables de la formulación de políticas que se encuentran en las primeras </w:t>
      </w:r>
      <w:r w:rsidRPr="00B668BF">
        <w:rPr>
          <w:rFonts w:ascii="Arial" w:hAnsi="Arial" w:cs="Arial"/>
          <w:bCs/>
          <w:lang w:val="es-UY"/>
        </w:rPr>
        <w:lastRenderedPageBreak/>
        <w:t xml:space="preserve">etapas de su carrera y están interesados en cómo la ciencia puede ayudar a abordar los desafíos nacionales y regionales y apoyar el desarrollo sostenible. El IAI facilita su capacitación, tutoría y conexión con una red interamericana de </w:t>
      </w:r>
      <w:r w:rsidR="00B668BF" w:rsidRPr="00B668BF">
        <w:rPr>
          <w:rFonts w:ascii="Arial" w:hAnsi="Arial" w:cs="Arial"/>
          <w:bCs/>
          <w:lang w:val="es-UY"/>
        </w:rPr>
        <w:t>fellows</w:t>
      </w:r>
      <w:r w:rsidRPr="00B668BF">
        <w:rPr>
          <w:rFonts w:ascii="Arial" w:hAnsi="Arial" w:cs="Arial"/>
          <w:bCs/>
          <w:lang w:val="es-UY"/>
        </w:rPr>
        <w:t xml:space="preserve"> de ciencia y política para intercambiar información, experiencias, mejores prácticas, colaboraciones transfronterizas y oportunidades de carrera internacional. </w:t>
      </w:r>
    </w:p>
    <w:p w14:paraId="337FBCA5" w14:textId="77777777" w:rsidR="00C8618F" w:rsidRPr="00B668BF" w:rsidRDefault="00C8618F" w:rsidP="00C8618F">
      <w:pPr>
        <w:pStyle w:val="Prrafodelista"/>
        <w:spacing w:after="0"/>
        <w:rPr>
          <w:rFonts w:ascii="Arial" w:hAnsi="Arial" w:cs="Arial"/>
          <w:bCs/>
          <w:lang w:val="es-UY"/>
        </w:rPr>
      </w:pPr>
    </w:p>
    <w:p w14:paraId="0003AE36" w14:textId="34DDE407" w:rsidR="00BC18C3" w:rsidRPr="00B668BF" w:rsidRDefault="006B1868" w:rsidP="00C8618F">
      <w:pPr>
        <w:pStyle w:val="Prrafodelista"/>
        <w:numPr>
          <w:ilvl w:val="0"/>
          <w:numId w:val="10"/>
        </w:numPr>
        <w:spacing w:after="0" w:line="240" w:lineRule="auto"/>
        <w:jc w:val="both"/>
        <w:rPr>
          <w:rFonts w:ascii="Arial" w:eastAsia="Times New Roman" w:hAnsi="Arial" w:cs="Arial"/>
          <w:kern w:val="0"/>
          <w:lang w:val="es-UY"/>
          <w14:ligatures w14:val="none"/>
        </w:rPr>
      </w:pPr>
      <w:r w:rsidRPr="00B668BF">
        <w:rPr>
          <w:rFonts w:ascii="Arial" w:eastAsia="Times New Roman" w:hAnsi="Arial" w:cs="Arial"/>
          <w:kern w:val="0"/>
          <w:lang w:val="es-UY"/>
          <w14:ligatures w14:val="none"/>
        </w:rPr>
        <w:t xml:space="preserve">Los objetivos específicos del programa son: a) fomentar la experiencia práctica de los científicos que inician su carrera en materia de políticas y adopción de decisiones; b) adquirir conocimientos especializados en la prestación de asesoramiento científico en diferentes países del IAI; c) promover enfoques de TD para la resolución de problemas como una estrategia más eficaz para abordar problemas complejos del cambio global; d) facilitar el uso e incorporación del conocimiento científico en la labor gubernamental; e) desarrollar una plataforma para el desarrollo profesional y la creación de redes para los </w:t>
      </w:r>
      <w:r w:rsidR="00F47C93" w:rsidRPr="00B668BF">
        <w:rPr>
          <w:rFonts w:ascii="Arial" w:eastAsia="Times New Roman" w:hAnsi="Arial" w:cs="Arial"/>
          <w:kern w:val="0"/>
          <w:lang w:val="es-UY"/>
          <w14:ligatures w14:val="none"/>
        </w:rPr>
        <w:t>fellows</w:t>
      </w:r>
      <w:r w:rsidRPr="00B668BF">
        <w:rPr>
          <w:rFonts w:ascii="Arial" w:eastAsia="Times New Roman" w:hAnsi="Arial" w:cs="Arial"/>
          <w:kern w:val="0"/>
          <w:lang w:val="es-UY"/>
          <w14:ligatures w14:val="none"/>
        </w:rPr>
        <w:t xml:space="preserve"> y ex </w:t>
      </w:r>
      <w:r w:rsidR="00F47C93" w:rsidRPr="00B668BF">
        <w:rPr>
          <w:rFonts w:ascii="Arial" w:eastAsia="Times New Roman" w:hAnsi="Arial" w:cs="Arial"/>
          <w:kern w:val="0"/>
          <w:lang w:val="es-UY"/>
          <w14:ligatures w14:val="none"/>
        </w:rPr>
        <w:t>fellows</w:t>
      </w:r>
      <w:r w:rsidRPr="00B668BF">
        <w:rPr>
          <w:rFonts w:ascii="Arial" w:eastAsia="Times New Roman" w:hAnsi="Arial" w:cs="Arial"/>
          <w:kern w:val="0"/>
          <w:lang w:val="es-UY"/>
          <w14:ligatures w14:val="none"/>
        </w:rPr>
        <w:t xml:space="preserve"> del IAI a fin de mejorar las lecciones aprendidas y compartir experiencias y mejores prácticas en materia de políticas científicas; y f) promover el trabajo del IAI en las organizaciones y países anfitriones. </w:t>
      </w:r>
    </w:p>
    <w:p w14:paraId="5955F1FA" w14:textId="77777777" w:rsidR="00BC18C3" w:rsidRPr="00B668BF" w:rsidRDefault="00BC18C3" w:rsidP="00F439F7">
      <w:pPr>
        <w:spacing w:after="0" w:line="240" w:lineRule="auto"/>
        <w:jc w:val="both"/>
        <w:rPr>
          <w:rFonts w:ascii="Arial" w:eastAsia="Times New Roman" w:hAnsi="Arial" w:cs="Arial"/>
          <w:b/>
          <w:bCs/>
          <w:kern w:val="0"/>
          <w:lang w:val="es-UY"/>
          <w14:ligatures w14:val="none"/>
        </w:rPr>
      </w:pPr>
    </w:p>
    <w:p w14:paraId="6FC40EE4" w14:textId="31FC3029" w:rsidR="00B26B31" w:rsidRPr="00B668BF" w:rsidRDefault="006B1868" w:rsidP="00F439F7">
      <w:pPr>
        <w:spacing w:after="0" w:line="240" w:lineRule="auto"/>
        <w:jc w:val="both"/>
        <w:rPr>
          <w:rFonts w:ascii="Arial" w:eastAsia="Times New Roman" w:hAnsi="Arial" w:cs="Arial"/>
          <w:b/>
          <w:bCs/>
          <w:kern w:val="0"/>
          <w:u w:val="single"/>
          <w:lang w:val="es-UY"/>
          <w14:ligatures w14:val="none"/>
        </w:rPr>
      </w:pPr>
      <w:r w:rsidRPr="00B668BF">
        <w:rPr>
          <w:rFonts w:ascii="Arial" w:eastAsia="Times New Roman" w:hAnsi="Arial" w:cs="Arial"/>
          <w:b/>
          <w:bCs/>
          <w:kern w:val="0"/>
          <w:u w:val="single"/>
          <w:lang w:val="es-UY"/>
          <w14:ligatures w14:val="none"/>
        </w:rPr>
        <w:t>Actividades y Logros del período entre sesiones</w:t>
      </w:r>
      <w:r w:rsidR="00A75F08" w:rsidRPr="00B668BF">
        <w:rPr>
          <w:rFonts w:ascii="Arial" w:eastAsia="Times New Roman" w:hAnsi="Arial" w:cs="Arial"/>
          <w:b/>
          <w:bCs/>
          <w:kern w:val="0"/>
          <w:u w:val="single"/>
          <w:lang w:val="es-UY"/>
          <w14:ligatures w14:val="none"/>
        </w:rPr>
        <w:t xml:space="preserve">  </w:t>
      </w:r>
    </w:p>
    <w:p w14:paraId="6F695C94" w14:textId="77777777" w:rsidR="003075F2" w:rsidRPr="00B668BF" w:rsidRDefault="003075F2" w:rsidP="00F439F7">
      <w:pPr>
        <w:spacing w:after="0" w:line="240" w:lineRule="auto"/>
        <w:jc w:val="both"/>
        <w:rPr>
          <w:rFonts w:ascii="Arial" w:hAnsi="Arial" w:cs="Arial"/>
          <w:lang w:val="es-UY"/>
        </w:rPr>
      </w:pPr>
    </w:p>
    <w:p w14:paraId="7739AB2A" w14:textId="77777777" w:rsidR="00C01E2F" w:rsidRPr="00B668BF" w:rsidRDefault="00C01E2F" w:rsidP="00C01E2F">
      <w:pPr>
        <w:pStyle w:val="Prrafodelista"/>
        <w:spacing w:after="0" w:line="240" w:lineRule="auto"/>
        <w:jc w:val="both"/>
        <w:rPr>
          <w:rFonts w:ascii="Arial" w:eastAsia="Times New Roman" w:hAnsi="Arial" w:cs="Arial"/>
          <w:kern w:val="0"/>
          <w:lang w:val="es-UY"/>
          <w14:ligatures w14:val="none"/>
        </w:rPr>
      </w:pPr>
    </w:p>
    <w:p w14:paraId="77F589C6" w14:textId="4609C957" w:rsidR="00063911" w:rsidRPr="00B668BF" w:rsidRDefault="00C51186" w:rsidP="00C67E4F">
      <w:pPr>
        <w:pStyle w:val="Prrafodelista"/>
        <w:numPr>
          <w:ilvl w:val="0"/>
          <w:numId w:val="10"/>
        </w:numPr>
        <w:spacing w:after="0" w:line="240" w:lineRule="auto"/>
        <w:jc w:val="both"/>
        <w:rPr>
          <w:rFonts w:ascii="Arial" w:hAnsi="Arial" w:cs="Arial"/>
          <w:lang w:val="es-UY"/>
        </w:rPr>
      </w:pPr>
      <w:r w:rsidRPr="00B668BF">
        <w:rPr>
          <w:rFonts w:ascii="Arial" w:hAnsi="Arial" w:cs="Arial"/>
          <w:lang w:val="es-UY"/>
        </w:rPr>
        <w:t xml:space="preserve">El principal logro del período entre sesiones 2023-2024, medido por la retención y la demanda de fellows por parte de los Estados miembros y no miembros, incluye la ampliación de la cohorte a un total de 67 </w:t>
      </w:r>
      <w:r w:rsidR="00955BA8" w:rsidRPr="00B668BF">
        <w:rPr>
          <w:rFonts w:ascii="Arial" w:hAnsi="Arial" w:cs="Arial"/>
          <w:lang w:val="es-UY"/>
        </w:rPr>
        <w:t>fellows</w:t>
      </w:r>
      <w:r w:rsidRPr="00B668BF">
        <w:rPr>
          <w:rFonts w:ascii="Arial" w:hAnsi="Arial" w:cs="Arial"/>
          <w:lang w:val="es-UY"/>
        </w:rPr>
        <w:t xml:space="preserve"> de 14 países, 24 hombres y 43 mujeres de más de 40 titulaciones/disciplinas avanzadas diferentes, 30 instituciones públicas (poderes ejecutivo y legislativo) y privadas anfitrionas. </w:t>
      </w:r>
      <w:r w:rsidR="00B8402C" w:rsidRPr="00B668BF">
        <w:rPr>
          <w:rFonts w:ascii="Arial" w:hAnsi="Arial" w:cs="Arial"/>
          <w:lang w:val="es-UY"/>
        </w:rPr>
        <w:t xml:space="preserve"> </w:t>
      </w:r>
    </w:p>
    <w:p w14:paraId="7CB46F56" w14:textId="77777777" w:rsidR="00063911" w:rsidRPr="00B668BF" w:rsidRDefault="00063911" w:rsidP="00063911">
      <w:pPr>
        <w:pStyle w:val="Prrafodelista"/>
        <w:spacing w:after="0" w:line="240" w:lineRule="auto"/>
        <w:jc w:val="both"/>
        <w:rPr>
          <w:rFonts w:ascii="Arial" w:hAnsi="Arial" w:cs="Arial"/>
          <w:lang w:val="es-UY"/>
        </w:rPr>
      </w:pPr>
    </w:p>
    <w:p w14:paraId="140E0CE6" w14:textId="1136B649" w:rsidR="00C01E2F" w:rsidRPr="00B668BF" w:rsidRDefault="00C51186" w:rsidP="00C67E4F">
      <w:pPr>
        <w:pStyle w:val="Prrafodelista"/>
        <w:numPr>
          <w:ilvl w:val="0"/>
          <w:numId w:val="10"/>
        </w:numPr>
        <w:spacing w:after="0" w:line="240" w:lineRule="auto"/>
        <w:jc w:val="both"/>
        <w:rPr>
          <w:rFonts w:ascii="Arial" w:hAnsi="Arial" w:cs="Arial"/>
          <w:lang w:val="es-UY"/>
        </w:rPr>
      </w:pPr>
      <w:r w:rsidRPr="00B668BF">
        <w:rPr>
          <w:rFonts w:ascii="Arial" w:hAnsi="Arial" w:cs="Arial"/>
          <w:lang w:val="es-UY"/>
        </w:rPr>
        <w:t xml:space="preserve">La cohorte 2024-2025 (cuarta generación de </w:t>
      </w:r>
      <w:r w:rsidR="00B668BF" w:rsidRPr="00B668BF">
        <w:rPr>
          <w:rFonts w:ascii="Arial" w:hAnsi="Arial" w:cs="Arial"/>
          <w:lang w:val="es-UY"/>
        </w:rPr>
        <w:t>fellows</w:t>
      </w:r>
      <w:r w:rsidRPr="00B668BF">
        <w:rPr>
          <w:rFonts w:ascii="Arial" w:hAnsi="Arial" w:cs="Arial"/>
          <w:lang w:val="es-UY"/>
        </w:rPr>
        <w:t xml:space="preserve">) está actualmente abierta a convocatoria con un estimado de 22 nuevos </w:t>
      </w:r>
      <w:r w:rsidR="00955BA8" w:rsidRPr="00B668BF">
        <w:rPr>
          <w:rFonts w:ascii="Arial" w:hAnsi="Arial" w:cs="Arial"/>
          <w:lang w:val="es-UY"/>
        </w:rPr>
        <w:t>fellows</w:t>
      </w:r>
      <w:r w:rsidRPr="00B668BF">
        <w:rPr>
          <w:rFonts w:ascii="Arial" w:hAnsi="Arial" w:cs="Arial"/>
          <w:lang w:val="es-UY"/>
        </w:rPr>
        <w:t xml:space="preserve">. 28 </w:t>
      </w:r>
      <w:r w:rsidR="00B668BF" w:rsidRPr="00B668BF">
        <w:rPr>
          <w:rFonts w:ascii="Arial" w:hAnsi="Arial" w:cs="Arial"/>
          <w:lang w:val="es-UY"/>
        </w:rPr>
        <w:t>fellows</w:t>
      </w:r>
      <w:r w:rsidRPr="00B668BF">
        <w:rPr>
          <w:rFonts w:ascii="Arial" w:hAnsi="Arial" w:cs="Arial"/>
          <w:lang w:val="es-UY"/>
        </w:rPr>
        <w:t xml:space="preserve"> de la Generación 3 también tendrán la opción de renovar su participación para su segundo año. Entre los nuevos socios se encuentran FAPESC (Brasil) y </w:t>
      </w:r>
      <w:proofErr w:type="spellStart"/>
      <w:r w:rsidRPr="00B668BF">
        <w:rPr>
          <w:rFonts w:ascii="Arial" w:hAnsi="Arial" w:cs="Arial"/>
          <w:lang w:val="es-UY"/>
        </w:rPr>
        <w:t>Early</w:t>
      </w:r>
      <w:proofErr w:type="spellEnd"/>
      <w:r w:rsidRPr="00B668BF">
        <w:rPr>
          <w:rFonts w:ascii="Arial" w:hAnsi="Arial" w:cs="Arial"/>
          <w:lang w:val="es-UY"/>
        </w:rPr>
        <w:t xml:space="preserve"> </w:t>
      </w:r>
      <w:proofErr w:type="spellStart"/>
      <w:r w:rsidRPr="00B668BF">
        <w:rPr>
          <w:rFonts w:ascii="Arial" w:hAnsi="Arial" w:cs="Arial"/>
          <w:lang w:val="es-UY"/>
        </w:rPr>
        <w:t>Career</w:t>
      </w:r>
      <w:proofErr w:type="spellEnd"/>
      <w:r w:rsidRPr="00B668BF">
        <w:rPr>
          <w:rFonts w:ascii="Arial" w:hAnsi="Arial" w:cs="Arial"/>
          <w:lang w:val="es-UY"/>
        </w:rPr>
        <w:t xml:space="preserve"> </w:t>
      </w:r>
      <w:proofErr w:type="spellStart"/>
      <w:r w:rsidRPr="00B668BF">
        <w:rPr>
          <w:rFonts w:ascii="Arial" w:hAnsi="Arial" w:cs="Arial"/>
          <w:lang w:val="es-UY"/>
        </w:rPr>
        <w:t>Ocean</w:t>
      </w:r>
      <w:proofErr w:type="spellEnd"/>
      <w:r w:rsidRPr="00B668BF">
        <w:rPr>
          <w:rFonts w:ascii="Arial" w:hAnsi="Arial" w:cs="Arial"/>
          <w:lang w:val="es-UY"/>
        </w:rPr>
        <w:t xml:space="preserve"> </w:t>
      </w:r>
      <w:proofErr w:type="spellStart"/>
      <w:r w:rsidRPr="00B668BF">
        <w:rPr>
          <w:rFonts w:ascii="Arial" w:hAnsi="Arial" w:cs="Arial"/>
          <w:lang w:val="es-UY"/>
        </w:rPr>
        <w:t>Professionals</w:t>
      </w:r>
      <w:proofErr w:type="spellEnd"/>
      <w:r w:rsidRPr="00B668BF">
        <w:rPr>
          <w:rFonts w:ascii="Arial" w:hAnsi="Arial" w:cs="Arial"/>
          <w:lang w:val="es-UY"/>
        </w:rPr>
        <w:t xml:space="preserve"> (ECOP) Capítulo Centroamérica. Entre los socios actuales se encuentran AAAS STPF (EE.UU.), ANII (Uruguay), AMEXAC (México), el Belmont </w:t>
      </w:r>
      <w:proofErr w:type="spellStart"/>
      <w:r w:rsidRPr="00B668BF">
        <w:rPr>
          <w:rFonts w:ascii="Arial" w:hAnsi="Arial" w:cs="Arial"/>
          <w:lang w:val="es-UY"/>
        </w:rPr>
        <w:t>Forum</w:t>
      </w:r>
      <w:proofErr w:type="spellEnd"/>
      <w:r w:rsidRPr="00B668BF">
        <w:rPr>
          <w:rFonts w:ascii="Arial" w:hAnsi="Arial" w:cs="Arial"/>
          <w:lang w:val="es-UY"/>
        </w:rPr>
        <w:t xml:space="preserve">, CREA (Argentina), Duke </w:t>
      </w:r>
      <w:proofErr w:type="spellStart"/>
      <w:r w:rsidRPr="00B668BF">
        <w:rPr>
          <w:rFonts w:ascii="Arial" w:hAnsi="Arial" w:cs="Arial"/>
          <w:lang w:val="es-UY"/>
        </w:rPr>
        <w:t>University</w:t>
      </w:r>
      <w:proofErr w:type="spellEnd"/>
      <w:r w:rsidRPr="00B668BF">
        <w:rPr>
          <w:rFonts w:ascii="Arial" w:hAnsi="Arial" w:cs="Arial"/>
          <w:lang w:val="es-UY"/>
        </w:rPr>
        <w:t xml:space="preserve"> </w:t>
      </w:r>
      <w:proofErr w:type="spellStart"/>
      <w:r w:rsidRPr="00B668BF">
        <w:rPr>
          <w:rFonts w:ascii="Arial" w:hAnsi="Arial" w:cs="Arial"/>
          <w:lang w:val="es-UY"/>
        </w:rPr>
        <w:t>Sanford</w:t>
      </w:r>
      <w:proofErr w:type="spellEnd"/>
      <w:r w:rsidRPr="00B668BF">
        <w:rPr>
          <w:rFonts w:ascii="Arial" w:hAnsi="Arial" w:cs="Arial"/>
          <w:lang w:val="es-UY"/>
        </w:rPr>
        <w:t xml:space="preserve"> </w:t>
      </w:r>
      <w:proofErr w:type="spellStart"/>
      <w:r w:rsidRPr="00B668BF">
        <w:rPr>
          <w:rFonts w:ascii="Arial" w:hAnsi="Arial" w:cs="Arial"/>
          <w:lang w:val="es-UY"/>
        </w:rPr>
        <w:t>School</w:t>
      </w:r>
      <w:proofErr w:type="spellEnd"/>
      <w:r w:rsidRPr="00B668BF">
        <w:rPr>
          <w:rFonts w:ascii="Arial" w:hAnsi="Arial" w:cs="Arial"/>
          <w:lang w:val="es-UY"/>
        </w:rPr>
        <w:t xml:space="preserve"> </w:t>
      </w:r>
      <w:proofErr w:type="spellStart"/>
      <w:r w:rsidRPr="00B668BF">
        <w:rPr>
          <w:rFonts w:ascii="Arial" w:hAnsi="Arial" w:cs="Arial"/>
          <w:lang w:val="es-UY"/>
        </w:rPr>
        <w:t>of</w:t>
      </w:r>
      <w:proofErr w:type="spellEnd"/>
      <w:r w:rsidRPr="00B668BF">
        <w:rPr>
          <w:rFonts w:ascii="Arial" w:hAnsi="Arial" w:cs="Arial"/>
          <w:lang w:val="es-UY"/>
        </w:rPr>
        <w:t xml:space="preserve"> </w:t>
      </w:r>
      <w:proofErr w:type="spellStart"/>
      <w:r w:rsidRPr="00B668BF">
        <w:rPr>
          <w:rFonts w:ascii="Arial" w:hAnsi="Arial" w:cs="Arial"/>
          <w:lang w:val="es-UY"/>
        </w:rPr>
        <w:t>Public</w:t>
      </w:r>
      <w:proofErr w:type="spellEnd"/>
      <w:r w:rsidRPr="00B668BF">
        <w:rPr>
          <w:rFonts w:ascii="Arial" w:hAnsi="Arial" w:cs="Arial"/>
          <w:lang w:val="es-UY"/>
        </w:rPr>
        <w:t xml:space="preserve"> </w:t>
      </w:r>
      <w:proofErr w:type="spellStart"/>
      <w:r w:rsidRPr="00B668BF">
        <w:rPr>
          <w:rFonts w:ascii="Arial" w:hAnsi="Arial" w:cs="Arial"/>
          <w:lang w:val="es-UY"/>
        </w:rPr>
        <w:t>Policy</w:t>
      </w:r>
      <w:proofErr w:type="spellEnd"/>
      <w:r w:rsidRPr="00B668BF">
        <w:rPr>
          <w:rFonts w:ascii="Arial" w:hAnsi="Arial" w:cs="Arial"/>
          <w:lang w:val="es-UY"/>
        </w:rPr>
        <w:t xml:space="preserve"> (EE.UU.), el Ministerio de Ciencia, Tecnología, Conocimiento e Innovación (Chile), </w:t>
      </w:r>
      <w:proofErr w:type="spellStart"/>
      <w:r w:rsidRPr="00B668BF">
        <w:rPr>
          <w:rFonts w:ascii="Arial" w:hAnsi="Arial" w:cs="Arial"/>
          <w:lang w:val="es-UY"/>
        </w:rPr>
        <w:t>STeP</w:t>
      </w:r>
      <w:proofErr w:type="spellEnd"/>
      <w:r w:rsidRPr="00B668BF">
        <w:rPr>
          <w:rFonts w:ascii="Arial" w:hAnsi="Arial" w:cs="Arial"/>
          <w:lang w:val="es-UY"/>
        </w:rPr>
        <w:t>/</w:t>
      </w:r>
      <w:proofErr w:type="spellStart"/>
      <w:r w:rsidRPr="00B668BF">
        <w:rPr>
          <w:rFonts w:ascii="Arial" w:hAnsi="Arial" w:cs="Arial"/>
          <w:lang w:val="es-UY"/>
        </w:rPr>
        <w:t>Mitacs</w:t>
      </w:r>
      <w:proofErr w:type="spellEnd"/>
      <w:r w:rsidRPr="00B668BF">
        <w:rPr>
          <w:rFonts w:ascii="Arial" w:hAnsi="Arial" w:cs="Arial"/>
          <w:lang w:val="es-UY"/>
        </w:rPr>
        <w:t xml:space="preserve"> </w:t>
      </w:r>
      <w:proofErr w:type="spellStart"/>
      <w:r w:rsidRPr="00B668BF">
        <w:rPr>
          <w:rFonts w:ascii="Arial" w:hAnsi="Arial" w:cs="Arial"/>
          <w:lang w:val="es-UY"/>
        </w:rPr>
        <w:t>Alumni</w:t>
      </w:r>
      <w:proofErr w:type="spellEnd"/>
      <w:r w:rsidRPr="00B668BF">
        <w:rPr>
          <w:rFonts w:ascii="Arial" w:hAnsi="Arial" w:cs="Arial"/>
          <w:lang w:val="es-UY"/>
        </w:rPr>
        <w:t xml:space="preserve"> (Canadá), SENACYT (Panamá), la Universidad de las Indias Occidentales (Campus Cave Hill, Barbados). </w:t>
      </w:r>
      <w:r w:rsidR="00063911" w:rsidRPr="00B668BF">
        <w:rPr>
          <w:rFonts w:ascii="Arial" w:hAnsi="Arial" w:cs="Arial"/>
          <w:lang w:val="es-UY"/>
        </w:rPr>
        <w:t xml:space="preserve"> </w:t>
      </w:r>
    </w:p>
    <w:p w14:paraId="6C4F3F30" w14:textId="77777777" w:rsidR="00063911" w:rsidRPr="00B668BF" w:rsidRDefault="00063911" w:rsidP="00063911">
      <w:pPr>
        <w:rPr>
          <w:rFonts w:ascii="Arial" w:hAnsi="Arial" w:cs="Arial"/>
          <w:lang w:val="es-UY"/>
        </w:rPr>
      </w:pPr>
    </w:p>
    <w:p w14:paraId="6ACC8D2B" w14:textId="26A1AD12" w:rsidR="00936D72" w:rsidRPr="00B668BF" w:rsidRDefault="00C51186" w:rsidP="00063911">
      <w:pPr>
        <w:pStyle w:val="Prrafodelista"/>
        <w:numPr>
          <w:ilvl w:val="0"/>
          <w:numId w:val="10"/>
        </w:numPr>
        <w:jc w:val="both"/>
        <w:rPr>
          <w:rFonts w:ascii="Arial" w:hAnsi="Arial" w:cs="Arial"/>
          <w:lang w:val="es-UY"/>
        </w:rPr>
      </w:pPr>
      <w:r w:rsidRPr="00B668BF">
        <w:rPr>
          <w:rFonts w:ascii="Arial" w:hAnsi="Arial" w:cs="Arial"/>
          <w:lang w:val="es-UY"/>
        </w:rPr>
        <w:t xml:space="preserve">Programa de Desarrollo Profesional 2023-2024: El creciente número de </w:t>
      </w:r>
      <w:proofErr w:type="spellStart"/>
      <w:r w:rsidR="00955BA8" w:rsidRPr="00B668BF">
        <w:rPr>
          <w:rFonts w:ascii="Arial" w:hAnsi="Arial" w:cs="Arial"/>
          <w:lang w:val="es-UY"/>
        </w:rPr>
        <w:t>fello</w:t>
      </w:r>
      <w:r w:rsidR="00B668BF" w:rsidRPr="00B668BF">
        <w:rPr>
          <w:rFonts w:ascii="Arial" w:hAnsi="Arial" w:cs="Arial"/>
          <w:lang w:val="es-UY"/>
        </w:rPr>
        <w:t>w</w:t>
      </w:r>
      <w:r w:rsidR="00955BA8" w:rsidRPr="00B668BF">
        <w:rPr>
          <w:rFonts w:ascii="Arial" w:hAnsi="Arial" w:cs="Arial"/>
          <w:lang w:val="es-UY"/>
        </w:rPr>
        <w:t>s</w:t>
      </w:r>
      <w:proofErr w:type="spellEnd"/>
      <w:r w:rsidRPr="00B668BF">
        <w:rPr>
          <w:rFonts w:ascii="Arial" w:hAnsi="Arial" w:cs="Arial"/>
          <w:lang w:val="es-UY"/>
        </w:rPr>
        <w:t xml:space="preserve"> regionales de </w:t>
      </w:r>
      <w:proofErr w:type="spellStart"/>
      <w:r w:rsidRPr="00B668BF">
        <w:rPr>
          <w:rFonts w:ascii="Arial" w:hAnsi="Arial" w:cs="Arial"/>
          <w:lang w:val="es-UY"/>
        </w:rPr>
        <w:t>STeP</w:t>
      </w:r>
      <w:proofErr w:type="spellEnd"/>
      <w:r w:rsidRPr="00B668BF">
        <w:rPr>
          <w:rFonts w:ascii="Arial" w:hAnsi="Arial" w:cs="Arial"/>
          <w:lang w:val="es-UY"/>
        </w:rPr>
        <w:t xml:space="preserve"> continuó desarrollando capacidades en comunicación, diplomacia científica y liderazgo con 16 sesiones de capacitación virtual de 2023 a 2024, además de una conferencia presencial. La formación y la comunidad de práctica de los investigadores y responsables de la formulación de políticas que inician su carrera proporcionan una valiosa visión sobre el uso del enfoque transdisciplinario, proporcionando conocimientos, herramientas y habilidades prácticas relevantes para el contexto para abordar los problemas transfronterizos del cambio global (GC). A través de la gestión adaptativa del programa, las sesiones organizadas bajo los pilares de capacitación (diplomacia científica, comunicación y liderazgo) se actualizan anualmente en experiencias virtuales y presenciales combinadas. El programa también se alinea con las prioridades del IAI definidas por las decisiones de la CoP-31, la evaluación regional y la política de EDI. </w:t>
      </w:r>
    </w:p>
    <w:p w14:paraId="44508F40" w14:textId="77777777" w:rsidR="00936D72" w:rsidRPr="00B668BF" w:rsidRDefault="00936D72" w:rsidP="006F7D91">
      <w:pPr>
        <w:pStyle w:val="Prrafodelista"/>
        <w:jc w:val="both"/>
        <w:rPr>
          <w:rFonts w:ascii="Arial" w:hAnsi="Arial" w:cs="Arial"/>
          <w:lang w:val="es-UY"/>
        </w:rPr>
      </w:pPr>
    </w:p>
    <w:p w14:paraId="206E2072" w14:textId="1B0B6287" w:rsidR="00C01E2F" w:rsidRPr="00B668BF" w:rsidRDefault="003176BD" w:rsidP="00C01E2F">
      <w:pPr>
        <w:pStyle w:val="Prrafodelista"/>
        <w:jc w:val="both"/>
        <w:rPr>
          <w:rFonts w:ascii="Arial" w:hAnsi="Arial" w:cs="Arial"/>
          <w:lang w:val="es-UY"/>
        </w:rPr>
      </w:pPr>
      <w:r w:rsidRPr="00B668BF">
        <w:rPr>
          <w:rFonts w:ascii="Arial" w:hAnsi="Arial" w:cs="Arial"/>
          <w:lang w:val="es-UY"/>
        </w:rPr>
        <w:lastRenderedPageBreak/>
        <w:t>Sesiones Virtuales</w:t>
      </w:r>
      <w:r w:rsidR="00936D72" w:rsidRPr="00B668BF">
        <w:rPr>
          <w:rFonts w:ascii="Arial" w:hAnsi="Arial" w:cs="Arial"/>
          <w:lang w:val="es-UY"/>
        </w:rPr>
        <w:t>:</w:t>
      </w:r>
    </w:p>
    <w:p w14:paraId="344AAAE0" w14:textId="77777777" w:rsidR="003176BD" w:rsidRPr="00B668BF" w:rsidRDefault="003176BD" w:rsidP="003176BD">
      <w:pPr>
        <w:pStyle w:val="Prrafodelista"/>
        <w:numPr>
          <w:ilvl w:val="0"/>
          <w:numId w:val="16"/>
        </w:numPr>
        <w:jc w:val="both"/>
        <w:rPr>
          <w:rFonts w:ascii="Arial" w:hAnsi="Arial" w:cs="Arial"/>
          <w:lang w:val="es-UY"/>
        </w:rPr>
      </w:pPr>
      <w:r w:rsidRPr="00B668BF">
        <w:rPr>
          <w:rFonts w:ascii="Arial" w:hAnsi="Arial" w:cs="Arial"/>
          <w:lang w:val="es-UY"/>
        </w:rPr>
        <w:t>Introducción a la Organización Multilateral (abril de 2023)</w:t>
      </w:r>
    </w:p>
    <w:p w14:paraId="2F8A2978" w14:textId="1E83332A" w:rsidR="003176BD" w:rsidRPr="00B668BF" w:rsidRDefault="003176BD" w:rsidP="003176BD">
      <w:pPr>
        <w:pStyle w:val="Prrafodelista"/>
        <w:numPr>
          <w:ilvl w:val="0"/>
          <w:numId w:val="16"/>
        </w:numPr>
        <w:jc w:val="both"/>
        <w:rPr>
          <w:rFonts w:ascii="Arial" w:hAnsi="Arial" w:cs="Arial"/>
          <w:lang w:val="es-UY"/>
        </w:rPr>
      </w:pPr>
      <w:r w:rsidRPr="00B668BF">
        <w:rPr>
          <w:rFonts w:ascii="Arial" w:hAnsi="Arial" w:cs="Arial"/>
          <w:lang w:val="es-UY"/>
        </w:rPr>
        <w:t>Proceso internacional de toma de decisiones (mayo de 2023)</w:t>
      </w:r>
    </w:p>
    <w:p w14:paraId="6265AF1E" w14:textId="4DD674D3" w:rsidR="003176BD" w:rsidRPr="00B668BF" w:rsidRDefault="003176BD" w:rsidP="003176BD">
      <w:pPr>
        <w:pStyle w:val="Prrafodelista"/>
        <w:numPr>
          <w:ilvl w:val="0"/>
          <w:numId w:val="16"/>
        </w:numPr>
        <w:jc w:val="both"/>
        <w:rPr>
          <w:rFonts w:ascii="Arial" w:hAnsi="Arial" w:cs="Arial"/>
          <w:lang w:val="es-UY"/>
        </w:rPr>
      </w:pPr>
      <w:r w:rsidRPr="00B668BF">
        <w:rPr>
          <w:rFonts w:ascii="Arial" w:hAnsi="Arial" w:cs="Arial"/>
          <w:lang w:val="es-UY"/>
        </w:rPr>
        <w:t>Enfoque transdisciplinario de la ciencia y la vida (mayo de 2023)</w:t>
      </w:r>
    </w:p>
    <w:p w14:paraId="71FBF986" w14:textId="051C91A9" w:rsidR="003176BD" w:rsidRPr="00B668BF" w:rsidRDefault="003176BD" w:rsidP="003176BD">
      <w:pPr>
        <w:pStyle w:val="Prrafodelista"/>
        <w:numPr>
          <w:ilvl w:val="0"/>
          <w:numId w:val="16"/>
        </w:numPr>
        <w:jc w:val="both"/>
        <w:rPr>
          <w:rFonts w:ascii="Arial" w:hAnsi="Arial" w:cs="Arial"/>
          <w:lang w:val="es-UY"/>
        </w:rPr>
      </w:pPr>
      <w:r w:rsidRPr="00B668BF">
        <w:rPr>
          <w:rFonts w:ascii="Arial" w:hAnsi="Arial" w:cs="Arial"/>
          <w:lang w:val="es-UY"/>
        </w:rPr>
        <w:t>Virtual Mixer (mayo de 2024)</w:t>
      </w:r>
    </w:p>
    <w:p w14:paraId="6AA06B89" w14:textId="06D6CC08" w:rsidR="003176BD" w:rsidRPr="00B668BF" w:rsidRDefault="003176BD" w:rsidP="003176BD">
      <w:pPr>
        <w:pStyle w:val="Prrafodelista"/>
        <w:numPr>
          <w:ilvl w:val="0"/>
          <w:numId w:val="16"/>
        </w:numPr>
        <w:jc w:val="both"/>
        <w:rPr>
          <w:rFonts w:ascii="Arial" w:hAnsi="Arial" w:cs="Arial"/>
          <w:lang w:val="es-UY"/>
        </w:rPr>
      </w:pPr>
      <w:r w:rsidRPr="00B668BF">
        <w:rPr>
          <w:rFonts w:ascii="Arial" w:hAnsi="Arial" w:cs="Arial"/>
          <w:lang w:val="es-UY"/>
        </w:rPr>
        <w:t>Introducción a la Diplomacia Científica (agosto 2024)</w:t>
      </w:r>
    </w:p>
    <w:p w14:paraId="274A494D" w14:textId="4A1B4183" w:rsidR="003176BD" w:rsidRPr="00B668BF" w:rsidRDefault="003176BD" w:rsidP="003176BD">
      <w:pPr>
        <w:pStyle w:val="Prrafodelista"/>
        <w:numPr>
          <w:ilvl w:val="0"/>
          <w:numId w:val="16"/>
        </w:numPr>
        <w:jc w:val="both"/>
        <w:rPr>
          <w:rFonts w:ascii="Arial" w:hAnsi="Arial" w:cs="Arial"/>
          <w:lang w:val="es-UY"/>
        </w:rPr>
      </w:pPr>
      <w:r w:rsidRPr="00B668BF">
        <w:rPr>
          <w:rFonts w:ascii="Arial" w:hAnsi="Arial" w:cs="Arial"/>
          <w:lang w:val="es-UY"/>
        </w:rPr>
        <w:t>Herramientas de Diplomacia Científica + Lluvia de Ideas del Proyecto (agosto 2024)</w:t>
      </w:r>
    </w:p>
    <w:p w14:paraId="67EAE357" w14:textId="68E873B8" w:rsidR="003176BD" w:rsidRPr="00B668BF" w:rsidRDefault="003176BD" w:rsidP="003176BD">
      <w:pPr>
        <w:pStyle w:val="Prrafodelista"/>
        <w:numPr>
          <w:ilvl w:val="0"/>
          <w:numId w:val="16"/>
        </w:numPr>
        <w:jc w:val="both"/>
        <w:rPr>
          <w:rFonts w:ascii="Arial" w:hAnsi="Arial" w:cs="Arial"/>
          <w:lang w:val="es-UY"/>
        </w:rPr>
      </w:pPr>
      <w:r w:rsidRPr="00B668BF">
        <w:rPr>
          <w:rFonts w:ascii="Arial" w:hAnsi="Arial" w:cs="Arial"/>
          <w:lang w:val="es-UY"/>
        </w:rPr>
        <w:t>Introducción a la Convención Marco de las Naciones Unidas sobre el Cambio Climático (CMNUCC) (septiembre de 2024)</w:t>
      </w:r>
    </w:p>
    <w:p w14:paraId="39206EAD" w14:textId="33A98022" w:rsidR="003176BD" w:rsidRPr="00B668BF" w:rsidRDefault="003176BD" w:rsidP="003176BD">
      <w:pPr>
        <w:pStyle w:val="Prrafodelista"/>
        <w:numPr>
          <w:ilvl w:val="0"/>
          <w:numId w:val="16"/>
        </w:numPr>
        <w:jc w:val="both"/>
        <w:rPr>
          <w:rFonts w:ascii="Arial" w:hAnsi="Arial" w:cs="Arial"/>
          <w:lang w:val="es-UY"/>
        </w:rPr>
      </w:pPr>
      <w:r w:rsidRPr="00B668BF">
        <w:rPr>
          <w:rFonts w:ascii="Arial" w:hAnsi="Arial" w:cs="Arial"/>
          <w:lang w:val="es-UY"/>
        </w:rPr>
        <w:t>Teoría de la Resolución de Conflictos y Construcción de Consensos (septiembre 2024)</w:t>
      </w:r>
    </w:p>
    <w:p w14:paraId="2C42B62B" w14:textId="20F87ABD" w:rsidR="003176BD" w:rsidRPr="00B668BF" w:rsidRDefault="003176BD" w:rsidP="003176BD">
      <w:pPr>
        <w:pStyle w:val="Prrafodelista"/>
        <w:numPr>
          <w:ilvl w:val="0"/>
          <w:numId w:val="16"/>
        </w:numPr>
        <w:jc w:val="both"/>
        <w:rPr>
          <w:rFonts w:ascii="Arial" w:hAnsi="Arial" w:cs="Arial"/>
          <w:lang w:val="es-UY"/>
        </w:rPr>
      </w:pPr>
      <w:r w:rsidRPr="00B668BF">
        <w:rPr>
          <w:rFonts w:ascii="Arial" w:hAnsi="Arial" w:cs="Arial"/>
          <w:lang w:val="es-UY"/>
        </w:rPr>
        <w:t>Protocolo Diplomático para Científicos (octubre de 2024)</w:t>
      </w:r>
    </w:p>
    <w:p w14:paraId="165368DD" w14:textId="3168F9A1" w:rsidR="003176BD" w:rsidRPr="00B668BF" w:rsidRDefault="003176BD" w:rsidP="003176BD">
      <w:pPr>
        <w:pStyle w:val="Prrafodelista"/>
        <w:numPr>
          <w:ilvl w:val="0"/>
          <w:numId w:val="16"/>
        </w:numPr>
        <w:jc w:val="both"/>
        <w:rPr>
          <w:rFonts w:ascii="Arial" w:hAnsi="Arial" w:cs="Arial"/>
          <w:lang w:val="es-UY"/>
        </w:rPr>
      </w:pPr>
      <w:r w:rsidRPr="00B668BF">
        <w:rPr>
          <w:rFonts w:ascii="Arial" w:hAnsi="Arial" w:cs="Arial"/>
          <w:lang w:val="es-UY"/>
        </w:rPr>
        <w:t>Sesión informativa de mentoría y tutoría (noviembre de 2024)</w:t>
      </w:r>
    </w:p>
    <w:p w14:paraId="18EAA694" w14:textId="0671C05D" w:rsidR="003176BD" w:rsidRPr="00B668BF" w:rsidRDefault="003176BD" w:rsidP="003176BD">
      <w:pPr>
        <w:pStyle w:val="Prrafodelista"/>
        <w:numPr>
          <w:ilvl w:val="0"/>
          <w:numId w:val="16"/>
        </w:numPr>
        <w:jc w:val="both"/>
        <w:rPr>
          <w:rFonts w:ascii="Arial" w:hAnsi="Arial" w:cs="Arial"/>
          <w:lang w:val="es-UY"/>
        </w:rPr>
      </w:pPr>
      <w:r w:rsidRPr="00B668BF">
        <w:rPr>
          <w:rFonts w:ascii="Arial" w:hAnsi="Arial" w:cs="Arial"/>
          <w:lang w:val="es-UY"/>
        </w:rPr>
        <w:t>Documentos de Investigación Científica para la Toma de Decisiones (noviembre 2024)</w:t>
      </w:r>
    </w:p>
    <w:p w14:paraId="7D052965" w14:textId="2D967703" w:rsidR="003176BD" w:rsidRPr="00B668BF" w:rsidRDefault="003176BD" w:rsidP="003176BD">
      <w:pPr>
        <w:pStyle w:val="Prrafodelista"/>
        <w:numPr>
          <w:ilvl w:val="0"/>
          <w:numId w:val="16"/>
        </w:numPr>
        <w:jc w:val="both"/>
        <w:rPr>
          <w:rFonts w:ascii="Arial" w:hAnsi="Arial" w:cs="Arial"/>
          <w:lang w:val="es-UY"/>
        </w:rPr>
      </w:pPr>
      <w:r w:rsidRPr="00B668BF">
        <w:rPr>
          <w:rFonts w:ascii="Arial" w:hAnsi="Arial" w:cs="Arial"/>
          <w:lang w:val="es-UY"/>
        </w:rPr>
        <w:t>Consideraciones técnicas para redactar una nota de evidencia científica (diciembre de 2024)</w:t>
      </w:r>
    </w:p>
    <w:p w14:paraId="20B030EB" w14:textId="57CFB861" w:rsidR="00936D72" w:rsidRPr="00B668BF" w:rsidRDefault="003176BD" w:rsidP="003176BD">
      <w:pPr>
        <w:pStyle w:val="Prrafodelista"/>
        <w:numPr>
          <w:ilvl w:val="0"/>
          <w:numId w:val="16"/>
        </w:numPr>
        <w:jc w:val="both"/>
        <w:rPr>
          <w:rFonts w:ascii="Arial" w:hAnsi="Arial" w:cs="Arial"/>
          <w:lang w:val="es-UY"/>
        </w:rPr>
      </w:pPr>
      <w:r w:rsidRPr="00B668BF">
        <w:rPr>
          <w:rFonts w:ascii="Arial" w:hAnsi="Arial" w:cs="Arial"/>
          <w:lang w:val="es-UY"/>
        </w:rPr>
        <w:t>Sesiones de preparación para simulacros de negociación de la CMNUCC (4 sesiones marzo-abril de 2024)</w:t>
      </w:r>
    </w:p>
    <w:p w14:paraId="59E4C856" w14:textId="77777777" w:rsidR="003176BD" w:rsidRPr="00B668BF" w:rsidRDefault="003176BD" w:rsidP="003176BD">
      <w:pPr>
        <w:pStyle w:val="Prrafodelista"/>
        <w:ind w:left="360"/>
        <w:jc w:val="both"/>
        <w:rPr>
          <w:rFonts w:ascii="Arial" w:hAnsi="Arial" w:cs="Arial"/>
          <w:lang w:val="es-UY"/>
        </w:rPr>
      </w:pPr>
    </w:p>
    <w:p w14:paraId="755D992E" w14:textId="6D15AF20" w:rsidR="00063911" w:rsidRPr="00B668BF" w:rsidRDefault="00B42430" w:rsidP="00063911">
      <w:pPr>
        <w:pStyle w:val="Prrafodelista"/>
        <w:numPr>
          <w:ilvl w:val="0"/>
          <w:numId w:val="10"/>
        </w:numPr>
        <w:spacing w:after="0" w:line="240" w:lineRule="auto"/>
        <w:jc w:val="both"/>
        <w:rPr>
          <w:rFonts w:ascii="Arial" w:hAnsi="Arial" w:cs="Arial"/>
          <w:lang w:val="es-UY"/>
        </w:rPr>
      </w:pPr>
      <w:r w:rsidRPr="00B668BF">
        <w:rPr>
          <w:rFonts w:ascii="Arial" w:hAnsi="Arial" w:cs="Arial"/>
          <w:lang w:val="es-UY"/>
        </w:rPr>
        <w:t xml:space="preserve">El programa 2023-2024, que contó con 47 </w:t>
      </w:r>
      <w:r w:rsidR="00955BA8" w:rsidRPr="00B668BF">
        <w:rPr>
          <w:rFonts w:ascii="Arial" w:hAnsi="Arial" w:cs="Arial"/>
          <w:lang w:val="es-UY"/>
        </w:rPr>
        <w:t>fellows</w:t>
      </w:r>
      <w:r w:rsidRPr="00B668BF">
        <w:rPr>
          <w:rFonts w:ascii="Arial" w:hAnsi="Arial" w:cs="Arial"/>
          <w:lang w:val="es-UY"/>
        </w:rPr>
        <w:t xml:space="preserve"> activos, finalizó el 24 de abril de 2024, con la culminación de la </w:t>
      </w:r>
      <w:r w:rsidRPr="00B668BF">
        <w:rPr>
          <w:rFonts w:ascii="Arial" w:hAnsi="Arial" w:cs="Arial"/>
          <w:i/>
          <w:iCs/>
          <w:lang w:val="es-UY"/>
        </w:rPr>
        <w:t xml:space="preserve">Conferencia de Liderazgo </w:t>
      </w:r>
      <w:proofErr w:type="spellStart"/>
      <w:r w:rsidRPr="00B668BF">
        <w:rPr>
          <w:rFonts w:ascii="Arial" w:hAnsi="Arial" w:cs="Arial"/>
          <w:i/>
          <w:iCs/>
          <w:lang w:val="es-UY"/>
        </w:rPr>
        <w:t>STeP</w:t>
      </w:r>
      <w:proofErr w:type="spellEnd"/>
      <w:r w:rsidRPr="00B668BF">
        <w:rPr>
          <w:rFonts w:ascii="Arial" w:hAnsi="Arial" w:cs="Arial"/>
          <w:i/>
          <w:iCs/>
          <w:lang w:val="es-UY"/>
        </w:rPr>
        <w:t xml:space="preserve">: Consenso e Inclusión para la Toma de Decisiones Informadas </w:t>
      </w:r>
      <w:r w:rsidR="00063911" w:rsidRPr="00B668BF">
        <w:rPr>
          <w:rFonts w:ascii="Arial" w:hAnsi="Arial" w:cs="Arial"/>
          <w:lang w:val="es-UY"/>
        </w:rPr>
        <w:t>(</w:t>
      </w:r>
      <w:hyperlink r:id="rId7" w:history="1">
        <w:r w:rsidRPr="00B668BF">
          <w:rPr>
            <w:rStyle w:val="Hipervnculo"/>
            <w:rFonts w:ascii="Arial" w:hAnsi="Arial" w:cs="Arial"/>
            <w:lang w:val="es-UY"/>
          </w:rPr>
          <w:t>https://www.iai.int/es/news/detail/STeP-Leadership-Conference-2024:-Consensus-and-Inclusion-for-Informed-Decision-Making</w:t>
        </w:r>
      </w:hyperlink>
      <w:r w:rsidRPr="00B668BF">
        <w:rPr>
          <w:lang w:val="es-UY"/>
        </w:rPr>
        <w:t xml:space="preserve"> </w:t>
      </w:r>
      <w:r w:rsidR="00063911" w:rsidRPr="00B668BF">
        <w:rPr>
          <w:rFonts w:ascii="Arial" w:hAnsi="Arial" w:cs="Arial"/>
          <w:lang w:val="es-UY"/>
        </w:rPr>
        <w:t>)</w:t>
      </w:r>
    </w:p>
    <w:p w14:paraId="4DB0CC60" w14:textId="77777777" w:rsidR="00063911" w:rsidRPr="00B668BF" w:rsidRDefault="00063911" w:rsidP="00063911">
      <w:pPr>
        <w:pStyle w:val="Prrafodelista"/>
        <w:spacing w:after="0" w:line="240" w:lineRule="auto"/>
        <w:jc w:val="both"/>
        <w:rPr>
          <w:rFonts w:ascii="Arial" w:hAnsi="Arial" w:cs="Arial"/>
          <w:lang w:val="es-UY"/>
        </w:rPr>
      </w:pPr>
    </w:p>
    <w:p w14:paraId="2ACE5230" w14:textId="591C2EED" w:rsidR="00936D72" w:rsidRPr="00B668BF" w:rsidRDefault="00B42430" w:rsidP="00063911">
      <w:pPr>
        <w:pStyle w:val="Prrafodelista"/>
        <w:numPr>
          <w:ilvl w:val="0"/>
          <w:numId w:val="10"/>
        </w:numPr>
        <w:spacing w:after="0" w:line="240" w:lineRule="auto"/>
        <w:jc w:val="both"/>
        <w:rPr>
          <w:rFonts w:ascii="Arial" w:hAnsi="Arial" w:cs="Arial"/>
          <w:lang w:val="es-UY"/>
        </w:rPr>
      </w:pPr>
      <w:r w:rsidRPr="00B668BF">
        <w:rPr>
          <w:rFonts w:ascii="Arial" w:hAnsi="Arial" w:cs="Arial"/>
          <w:lang w:val="es-UY"/>
        </w:rPr>
        <w:t xml:space="preserve">El IAI apoyó a 29 </w:t>
      </w:r>
      <w:r w:rsidR="00955BA8" w:rsidRPr="00B668BF">
        <w:rPr>
          <w:rFonts w:ascii="Arial" w:hAnsi="Arial" w:cs="Arial"/>
          <w:lang w:val="es-UY"/>
        </w:rPr>
        <w:t>fellows</w:t>
      </w:r>
      <w:r w:rsidRPr="00B668BF">
        <w:rPr>
          <w:rFonts w:ascii="Arial" w:hAnsi="Arial" w:cs="Arial"/>
          <w:lang w:val="es-UY"/>
        </w:rPr>
        <w:t xml:space="preserve"> de 19 nacionalidades para que asistieran a la Conferencia de Liderazgo del </w:t>
      </w:r>
      <w:proofErr w:type="spellStart"/>
      <w:r w:rsidRPr="00B668BF">
        <w:rPr>
          <w:rFonts w:ascii="Arial" w:hAnsi="Arial" w:cs="Arial"/>
          <w:lang w:val="es-UY"/>
        </w:rPr>
        <w:t>STeP</w:t>
      </w:r>
      <w:proofErr w:type="spellEnd"/>
      <w:r w:rsidRPr="00B668BF">
        <w:rPr>
          <w:rFonts w:ascii="Arial" w:hAnsi="Arial" w:cs="Arial"/>
          <w:lang w:val="es-UY"/>
        </w:rPr>
        <w:t xml:space="preserve"> con el fin de aprender e interactuar entre sí junto con expertos locales y mundiales. Las sesiones presenciales incluyeron</w:t>
      </w:r>
      <w:r w:rsidR="00936D72" w:rsidRPr="00B668BF">
        <w:rPr>
          <w:rFonts w:ascii="Arial" w:hAnsi="Arial" w:cs="Arial"/>
          <w:lang w:val="es-UY"/>
        </w:rPr>
        <w:t xml:space="preserve">: </w:t>
      </w:r>
    </w:p>
    <w:p w14:paraId="4833D055" w14:textId="77777777" w:rsidR="00936D72" w:rsidRPr="00B668BF" w:rsidRDefault="00936D72" w:rsidP="006F7D91">
      <w:pPr>
        <w:pStyle w:val="Prrafodelista"/>
        <w:ind w:left="360"/>
        <w:jc w:val="both"/>
        <w:rPr>
          <w:rFonts w:ascii="Arial" w:hAnsi="Arial" w:cs="Arial"/>
          <w:b/>
          <w:bCs/>
          <w:lang w:val="es-UY"/>
        </w:rPr>
      </w:pPr>
    </w:p>
    <w:p w14:paraId="4B020ADF" w14:textId="77777777" w:rsidR="00B42430" w:rsidRPr="00B668BF" w:rsidRDefault="00B42430" w:rsidP="00B42430">
      <w:pPr>
        <w:pStyle w:val="Prrafodelista"/>
        <w:numPr>
          <w:ilvl w:val="0"/>
          <w:numId w:val="20"/>
        </w:numPr>
        <w:jc w:val="both"/>
        <w:rPr>
          <w:rFonts w:ascii="Arial" w:hAnsi="Arial" w:cs="Arial"/>
          <w:lang w:val="es-UY"/>
        </w:rPr>
      </w:pPr>
      <w:r w:rsidRPr="00B668BF">
        <w:rPr>
          <w:rFonts w:ascii="Arial" w:hAnsi="Arial" w:cs="Arial"/>
          <w:lang w:val="es-UY"/>
        </w:rPr>
        <w:t xml:space="preserve">Excursión Iximché: Ceremonia de bienvenida maya kaqchikel y presentaciones de investigadores de la Asociación </w:t>
      </w:r>
      <w:proofErr w:type="spellStart"/>
      <w:r w:rsidRPr="00B668BF">
        <w:rPr>
          <w:rFonts w:ascii="Arial" w:hAnsi="Arial" w:cs="Arial"/>
          <w:lang w:val="es-UY"/>
        </w:rPr>
        <w:t>Sotz'il</w:t>
      </w:r>
      <w:proofErr w:type="spellEnd"/>
      <w:r w:rsidRPr="00B668BF">
        <w:rPr>
          <w:rFonts w:ascii="Arial" w:hAnsi="Arial" w:cs="Arial"/>
          <w:lang w:val="es-UY"/>
        </w:rPr>
        <w:t xml:space="preserve"> (Conocimiento indígena y cambio climático)</w:t>
      </w:r>
    </w:p>
    <w:p w14:paraId="31AB77A1" w14:textId="77777777" w:rsidR="00B42430" w:rsidRPr="00B668BF" w:rsidRDefault="00B42430" w:rsidP="00B42430">
      <w:pPr>
        <w:pStyle w:val="Prrafodelista"/>
        <w:numPr>
          <w:ilvl w:val="0"/>
          <w:numId w:val="20"/>
        </w:numPr>
        <w:jc w:val="both"/>
        <w:rPr>
          <w:rFonts w:ascii="Arial" w:hAnsi="Arial" w:cs="Arial"/>
          <w:lang w:val="es-UY"/>
        </w:rPr>
      </w:pPr>
      <w:r w:rsidRPr="00B668BF">
        <w:rPr>
          <w:rFonts w:ascii="Arial" w:hAnsi="Arial" w:cs="Arial"/>
          <w:lang w:val="es-UY"/>
        </w:rPr>
        <w:t>Introducción al Currículo de Diplomacia Científica del IAI</w:t>
      </w:r>
    </w:p>
    <w:p w14:paraId="5C3D999D" w14:textId="77777777" w:rsidR="00B42430" w:rsidRPr="00B668BF" w:rsidRDefault="00B42430" w:rsidP="00B42430">
      <w:pPr>
        <w:pStyle w:val="Prrafodelista"/>
        <w:numPr>
          <w:ilvl w:val="0"/>
          <w:numId w:val="20"/>
        </w:numPr>
        <w:jc w:val="both"/>
        <w:rPr>
          <w:rFonts w:ascii="Arial" w:hAnsi="Arial" w:cs="Arial"/>
          <w:lang w:val="es-UY"/>
        </w:rPr>
      </w:pPr>
      <w:r w:rsidRPr="00B668BF">
        <w:rPr>
          <w:rFonts w:ascii="Arial" w:hAnsi="Arial" w:cs="Arial"/>
          <w:lang w:val="es-UY"/>
        </w:rPr>
        <w:t xml:space="preserve">Simulacro de negociación de la CMNUCC </w:t>
      </w:r>
    </w:p>
    <w:p w14:paraId="3C6370E4" w14:textId="5D8D80D8" w:rsidR="00B42430" w:rsidRPr="00B668BF" w:rsidRDefault="00B42430" w:rsidP="00B42430">
      <w:pPr>
        <w:pStyle w:val="Prrafodelista"/>
        <w:numPr>
          <w:ilvl w:val="0"/>
          <w:numId w:val="20"/>
        </w:numPr>
        <w:jc w:val="both"/>
        <w:rPr>
          <w:rFonts w:ascii="Arial" w:hAnsi="Arial" w:cs="Arial"/>
          <w:lang w:val="es-UY"/>
        </w:rPr>
      </w:pPr>
      <w:r w:rsidRPr="00B668BF">
        <w:rPr>
          <w:rFonts w:ascii="Arial" w:hAnsi="Arial" w:cs="Arial"/>
          <w:lang w:val="es-UY"/>
        </w:rPr>
        <w:t xml:space="preserve">Estrategia de acción: Oportunidad diaria de compartir/aprender lo que cada </w:t>
      </w:r>
      <w:proofErr w:type="spellStart"/>
      <w:r w:rsidR="00955BA8" w:rsidRPr="00B668BF">
        <w:rPr>
          <w:rFonts w:ascii="Arial" w:hAnsi="Arial" w:cs="Arial"/>
          <w:lang w:val="es-UY"/>
        </w:rPr>
        <w:t>fellow</w:t>
      </w:r>
      <w:proofErr w:type="spellEnd"/>
      <w:r w:rsidRPr="00B668BF">
        <w:rPr>
          <w:rFonts w:ascii="Arial" w:hAnsi="Arial" w:cs="Arial"/>
          <w:lang w:val="es-UY"/>
        </w:rPr>
        <w:t xml:space="preserve"> está haciendo en su país/institución anfitriona. Esta sesión también fue una capacitación en comunicación no solo para el </w:t>
      </w:r>
      <w:proofErr w:type="spellStart"/>
      <w:r w:rsidR="00A556E9">
        <w:rPr>
          <w:rFonts w:ascii="Arial" w:hAnsi="Arial" w:cs="Arial"/>
          <w:lang w:val="es-UY"/>
        </w:rPr>
        <w:t>fellow</w:t>
      </w:r>
      <w:proofErr w:type="spellEnd"/>
      <w:r w:rsidRPr="00B668BF">
        <w:rPr>
          <w:rFonts w:ascii="Arial" w:hAnsi="Arial" w:cs="Arial"/>
          <w:lang w:val="es-UY"/>
        </w:rPr>
        <w:t xml:space="preserve"> que presentaba, sino también para los </w:t>
      </w:r>
      <w:r w:rsidR="00B668BF" w:rsidRPr="00B668BF">
        <w:rPr>
          <w:rFonts w:ascii="Arial" w:hAnsi="Arial" w:cs="Arial"/>
          <w:lang w:val="es-UY"/>
        </w:rPr>
        <w:t>fellows</w:t>
      </w:r>
      <w:r w:rsidRPr="00B668BF">
        <w:rPr>
          <w:rFonts w:ascii="Arial" w:hAnsi="Arial" w:cs="Arial"/>
          <w:lang w:val="es-UY"/>
        </w:rPr>
        <w:t xml:space="preserve"> de la audiencia, quienes sintetizaron y redactaron publicaciones en las redes sociales basadas en charlas relámpago de cada </w:t>
      </w:r>
      <w:proofErr w:type="spellStart"/>
      <w:r w:rsidR="00A556E9">
        <w:rPr>
          <w:rFonts w:ascii="Arial" w:hAnsi="Arial" w:cs="Arial"/>
          <w:lang w:val="es-UY"/>
        </w:rPr>
        <w:t>fellow</w:t>
      </w:r>
      <w:proofErr w:type="spellEnd"/>
      <w:r w:rsidRPr="00B668BF">
        <w:rPr>
          <w:rFonts w:ascii="Arial" w:hAnsi="Arial" w:cs="Arial"/>
          <w:lang w:val="es-UY"/>
        </w:rPr>
        <w:t xml:space="preserve">. </w:t>
      </w:r>
    </w:p>
    <w:p w14:paraId="527AC4E1" w14:textId="77777777" w:rsidR="00B42430" w:rsidRPr="00B668BF" w:rsidRDefault="00B42430" w:rsidP="00B42430">
      <w:pPr>
        <w:pStyle w:val="Prrafodelista"/>
        <w:numPr>
          <w:ilvl w:val="0"/>
          <w:numId w:val="20"/>
        </w:numPr>
        <w:jc w:val="both"/>
        <w:rPr>
          <w:rFonts w:ascii="Arial" w:hAnsi="Arial" w:cs="Arial"/>
          <w:lang w:val="es-UY"/>
        </w:rPr>
      </w:pPr>
      <w:r w:rsidRPr="00B668BF">
        <w:rPr>
          <w:rFonts w:ascii="Arial" w:hAnsi="Arial" w:cs="Arial"/>
          <w:lang w:val="es-UY"/>
        </w:rPr>
        <w:t>Trabajo en grupo y presentación de proyectos</w:t>
      </w:r>
    </w:p>
    <w:p w14:paraId="1080AAA1" w14:textId="77777777" w:rsidR="00B42430" w:rsidRPr="00B668BF" w:rsidRDefault="00B42430" w:rsidP="00B42430">
      <w:pPr>
        <w:pStyle w:val="Prrafodelista"/>
        <w:numPr>
          <w:ilvl w:val="0"/>
          <w:numId w:val="20"/>
        </w:numPr>
        <w:jc w:val="both"/>
        <w:rPr>
          <w:rFonts w:ascii="Arial" w:hAnsi="Arial" w:cs="Arial"/>
          <w:lang w:val="es-UY"/>
        </w:rPr>
      </w:pPr>
      <w:r w:rsidRPr="00B668BF">
        <w:rPr>
          <w:rFonts w:ascii="Arial" w:hAnsi="Arial" w:cs="Arial"/>
          <w:lang w:val="es-UY"/>
        </w:rPr>
        <w:t xml:space="preserve">Mapeo de Mentoría y Declaración de Liderazgo </w:t>
      </w:r>
      <w:proofErr w:type="spellStart"/>
      <w:r w:rsidRPr="00B668BF">
        <w:rPr>
          <w:rFonts w:ascii="Arial" w:hAnsi="Arial" w:cs="Arial"/>
          <w:lang w:val="es-UY"/>
        </w:rPr>
        <w:t>STeP</w:t>
      </w:r>
      <w:proofErr w:type="spellEnd"/>
      <w:r w:rsidRPr="00B668BF">
        <w:rPr>
          <w:rFonts w:ascii="Arial" w:hAnsi="Arial" w:cs="Arial"/>
          <w:lang w:val="es-UY"/>
        </w:rPr>
        <w:t>: Cómo poner las palabras en acción</w:t>
      </w:r>
    </w:p>
    <w:p w14:paraId="1742D93B" w14:textId="0BEFFB19" w:rsidR="00B42430" w:rsidRPr="00B668BF" w:rsidRDefault="00B42430" w:rsidP="00B42430">
      <w:pPr>
        <w:pStyle w:val="Prrafodelista"/>
        <w:numPr>
          <w:ilvl w:val="0"/>
          <w:numId w:val="20"/>
        </w:numPr>
        <w:jc w:val="both"/>
        <w:rPr>
          <w:rFonts w:ascii="Arial" w:hAnsi="Arial" w:cs="Arial"/>
          <w:lang w:val="es-UY"/>
        </w:rPr>
      </w:pPr>
      <w:r w:rsidRPr="00B668BF">
        <w:rPr>
          <w:rFonts w:ascii="Arial" w:hAnsi="Arial" w:cs="Arial"/>
          <w:lang w:val="es-UY"/>
        </w:rPr>
        <w:t>Grupo de Diplomacia Científica: Presentación, Capacitación y Preparación de Proyectos</w:t>
      </w:r>
    </w:p>
    <w:p w14:paraId="2C4EB819" w14:textId="76B97B36" w:rsidR="00B52E0C" w:rsidRPr="00B668BF" w:rsidRDefault="00B42430" w:rsidP="00B42430">
      <w:pPr>
        <w:pStyle w:val="Prrafodelista"/>
        <w:numPr>
          <w:ilvl w:val="0"/>
          <w:numId w:val="20"/>
        </w:numPr>
        <w:jc w:val="both"/>
        <w:rPr>
          <w:rFonts w:ascii="Arial" w:hAnsi="Arial" w:cs="Arial"/>
          <w:b/>
          <w:bCs/>
          <w:lang w:val="es-UY"/>
        </w:rPr>
      </w:pPr>
      <w:r w:rsidRPr="00B668BF">
        <w:rPr>
          <w:rFonts w:ascii="Arial" w:hAnsi="Arial" w:cs="Arial"/>
          <w:lang w:val="es-UY"/>
        </w:rPr>
        <w:t xml:space="preserve">Fortalecimiento del nexo entre el cambio climático, la salud y las políticas públicas: Evidencia de Lancet </w:t>
      </w:r>
      <w:proofErr w:type="spellStart"/>
      <w:r w:rsidRPr="00B668BF">
        <w:rPr>
          <w:rFonts w:ascii="Arial" w:hAnsi="Arial" w:cs="Arial"/>
          <w:lang w:val="es-UY"/>
        </w:rPr>
        <w:t>Countdown</w:t>
      </w:r>
      <w:proofErr w:type="spellEnd"/>
      <w:r w:rsidRPr="00B668BF">
        <w:rPr>
          <w:rFonts w:ascii="Arial" w:hAnsi="Arial" w:cs="Arial"/>
          <w:lang w:val="es-UY"/>
        </w:rPr>
        <w:t xml:space="preserve"> </w:t>
      </w:r>
      <w:proofErr w:type="spellStart"/>
      <w:r w:rsidRPr="00B668BF">
        <w:rPr>
          <w:rFonts w:ascii="Arial" w:hAnsi="Arial" w:cs="Arial"/>
          <w:lang w:val="es-UY"/>
        </w:rPr>
        <w:t>Latin</w:t>
      </w:r>
      <w:proofErr w:type="spellEnd"/>
      <w:r w:rsidRPr="00B668BF">
        <w:rPr>
          <w:rFonts w:ascii="Arial" w:hAnsi="Arial" w:cs="Arial"/>
          <w:lang w:val="es-UY"/>
        </w:rPr>
        <w:t xml:space="preserve"> </w:t>
      </w:r>
      <w:proofErr w:type="spellStart"/>
      <w:r w:rsidRPr="00B668BF">
        <w:rPr>
          <w:rFonts w:ascii="Arial" w:hAnsi="Arial" w:cs="Arial"/>
          <w:lang w:val="es-UY"/>
        </w:rPr>
        <w:t>America</w:t>
      </w:r>
      <w:proofErr w:type="spellEnd"/>
      <w:r w:rsidRPr="00B668BF">
        <w:rPr>
          <w:rFonts w:ascii="Arial" w:hAnsi="Arial" w:cs="Arial"/>
          <w:lang w:val="es-UY"/>
        </w:rPr>
        <w:t xml:space="preserve"> y el IAI, Universidad del Valle Guatemala: Los </w:t>
      </w:r>
      <w:r w:rsidR="00955BA8" w:rsidRPr="00B668BF">
        <w:rPr>
          <w:rFonts w:ascii="Arial" w:hAnsi="Arial" w:cs="Arial"/>
          <w:lang w:val="es-UY"/>
        </w:rPr>
        <w:t>fellows</w:t>
      </w:r>
      <w:r w:rsidRPr="00B668BF">
        <w:rPr>
          <w:rFonts w:ascii="Arial" w:hAnsi="Arial" w:cs="Arial"/>
          <w:lang w:val="es-UY"/>
        </w:rPr>
        <w:t xml:space="preserve"> presentaron proyectos de diplomacia científica a los tomadores de decisiones locales, la comunidad académica y el Consejo Asesor del Centro de Diplomacia Científica del IAI. Los temas del proyecto incluyeron</w:t>
      </w:r>
      <w:r w:rsidR="00B52E0C" w:rsidRPr="00B668BF">
        <w:rPr>
          <w:rFonts w:ascii="Arial" w:hAnsi="Arial" w:cs="Arial"/>
          <w:lang w:val="es-UY"/>
        </w:rPr>
        <w:t>:</w:t>
      </w:r>
    </w:p>
    <w:p w14:paraId="158F44A0" w14:textId="77777777" w:rsidR="00B42430" w:rsidRPr="00B668BF" w:rsidRDefault="00B42430" w:rsidP="00B42430">
      <w:pPr>
        <w:pStyle w:val="Prrafodelista"/>
        <w:ind w:left="1080"/>
        <w:jc w:val="both"/>
        <w:rPr>
          <w:rFonts w:ascii="Arial" w:hAnsi="Arial" w:cs="Arial"/>
          <w:lang w:val="es-UY"/>
        </w:rPr>
      </w:pPr>
      <w:r w:rsidRPr="00B668BF">
        <w:rPr>
          <w:rFonts w:ascii="Arial" w:hAnsi="Arial" w:cs="Arial"/>
          <w:lang w:val="es-UY"/>
        </w:rPr>
        <w:t>1. Análisis comparativo para la Conferencia de las Naciones Unidas sobre los Océanos (UNOC) 2024</w:t>
      </w:r>
    </w:p>
    <w:p w14:paraId="34486A71" w14:textId="77777777" w:rsidR="00B42430" w:rsidRPr="00B668BF" w:rsidRDefault="00B42430" w:rsidP="00B42430">
      <w:pPr>
        <w:pStyle w:val="Prrafodelista"/>
        <w:ind w:left="1080"/>
        <w:jc w:val="both"/>
        <w:rPr>
          <w:rFonts w:ascii="Arial" w:hAnsi="Arial" w:cs="Arial"/>
          <w:lang w:val="es-UY"/>
        </w:rPr>
      </w:pPr>
      <w:r w:rsidRPr="00B668BF">
        <w:rPr>
          <w:rFonts w:ascii="Arial" w:hAnsi="Arial" w:cs="Arial"/>
          <w:lang w:val="es-UY"/>
        </w:rPr>
        <w:lastRenderedPageBreak/>
        <w:t xml:space="preserve">2. El Niño y la agricultura en el Caribe y América Central: Explorando las implicaciones para la seguridad alimentaria </w:t>
      </w:r>
    </w:p>
    <w:p w14:paraId="5928535B" w14:textId="77777777" w:rsidR="00B42430" w:rsidRPr="00B668BF" w:rsidRDefault="00B42430" w:rsidP="00B42430">
      <w:pPr>
        <w:pStyle w:val="Prrafodelista"/>
        <w:ind w:left="1080"/>
        <w:jc w:val="both"/>
        <w:rPr>
          <w:rFonts w:ascii="Arial" w:hAnsi="Arial" w:cs="Arial"/>
          <w:lang w:val="es-UY"/>
        </w:rPr>
      </w:pPr>
      <w:r w:rsidRPr="00B668BF">
        <w:rPr>
          <w:rFonts w:ascii="Arial" w:hAnsi="Arial" w:cs="Arial"/>
          <w:lang w:val="es-UY"/>
        </w:rPr>
        <w:t xml:space="preserve">3. Análisis de los Comités de Comunidades Locales y Pueblos Indígenas (LCIP) en organizaciones internacionales/multilaterales </w:t>
      </w:r>
    </w:p>
    <w:p w14:paraId="7B12AFE2" w14:textId="77777777" w:rsidR="00B42430" w:rsidRPr="00B668BF" w:rsidRDefault="00B42430" w:rsidP="00B42430">
      <w:pPr>
        <w:pStyle w:val="Prrafodelista"/>
        <w:ind w:left="1080"/>
        <w:jc w:val="both"/>
        <w:rPr>
          <w:rFonts w:ascii="Arial" w:hAnsi="Arial" w:cs="Arial"/>
          <w:lang w:val="es-UY"/>
        </w:rPr>
      </w:pPr>
      <w:r w:rsidRPr="00B668BF">
        <w:rPr>
          <w:rFonts w:ascii="Arial" w:hAnsi="Arial" w:cs="Arial"/>
          <w:lang w:val="es-UY"/>
        </w:rPr>
        <w:t xml:space="preserve">4. La diplomacia científica y los problemas emergentes que afectan al cambio climático </w:t>
      </w:r>
    </w:p>
    <w:p w14:paraId="16F26B8A" w14:textId="77777777" w:rsidR="00B42430" w:rsidRPr="00B668BF" w:rsidRDefault="00B42430" w:rsidP="00B42430">
      <w:pPr>
        <w:pStyle w:val="Prrafodelista"/>
        <w:ind w:left="1080"/>
        <w:jc w:val="both"/>
        <w:rPr>
          <w:rFonts w:ascii="Arial" w:hAnsi="Arial" w:cs="Arial"/>
          <w:lang w:val="es-UY"/>
        </w:rPr>
      </w:pPr>
      <w:r w:rsidRPr="00B668BF">
        <w:rPr>
          <w:rFonts w:ascii="Arial" w:hAnsi="Arial" w:cs="Arial"/>
          <w:lang w:val="es-UY"/>
        </w:rPr>
        <w:t xml:space="preserve">5. Acceso limitado a la atención médica en comunidades indígenas rurales de Oaxaca: recomendaciones de </w:t>
      </w:r>
      <w:proofErr w:type="spellStart"/>
      <w:r w:rsidRPr="00B668BF">
        <w:rPr>
          <w:rFonts w:ascii="Arial" w:hAnsi="Arial" w:cs="Arial"/>
          <w:lang w:val="es-UY"/>
        </w:rPr>
        <w:t>One</w:t>
      </w:r>
      <w:proofErr w:type="spellEnd"/>
      <w:r w:rsidRPr="00B668BF">
        <w:rPr>
          <w:rFonts w:ascii="Arial" w:hAnsi="Arial" w:cs="Arial"/>
          <w:lang w:val="es-UY"/>
        </w:rPr>
        <w:t xml:space="preserve"> </w:t>
      </w:r>
      <w:proofErr w:type="spellStart"/>
      <w:r w:rsidRPr="00B668BF">
        <w:rPr>
          <w:rFonts w:ascii="Arial" w:hAnsi="Arial" w:cs="Arial"/>
          <w:lang w:val="es-UY"/>
        </w:rPr>
        <w:t>Health</w:t>
      </w:r>
      <w:proofErr w:type="spellEnd"/>
      <w:r w:rsidRPr="00B668BF">
        <w:rPr>
          <w:rFonts w:ascii="Arial" w:hAnsi="Arial" w:cs="Arial"/>
          <w:lang w:val="es-UY"/>
        </w:rPr>
        <w:t xml:space="preserve"> para abordar las pérdidas y daños no económicos</w:t>
      </w:r>
    </w:p>
    <w:p w14:paraId="6D14391D" w14:textId="77777777" w:rsidR="00B42430" w:rsidRPr="00B668BF" w:rsidRDefault="00B42430" w:rsidP="00B42430">
      <w:pPr>
        <w:pStyle w:val="Prrafodelista"/>
        <w:ind w:left="1080"/>
        <w:jc w:val="both"/>
        <w:rPr>
          <w:rFonts w:ascii="Arial" w:hAnsi="Arial" w:cs="Arial"/>
          <w:lang w:val="es-UY"/>
        </w:rPr>
      </w:pPr>
      <w:r w:rsidRPr="00B668BF">
        <w:rPr>
          <w:rFonts w:ascii="Arial" w:hAnsi="Arial" w:cs="Arial"/>
          <w:lang w:val="es-UY"/>
        </w:rPr>
        <w:t xml:space="preserve">6. ¿Dónde está el clima? Falta de motivaciones y vínculos en el desarrollo verde urbano en las Américas </w:t>
      </w:r>
    </w:p>
    <w:p w14:paraId="3BDFFF47" w14:textId="77777777" w:rsidR="00B42430" w:rsidRPr="00B668BF" w:rsidRDefault="00B42430" w:rsidP="00B42430">
      <w:pPr>
        <w:pStyle w:val="Prrafodelista"/>
        <w:ind w:left="1080"/>
        <w:jc w:val="both"/>
        <w:rPr>
          <w:rFonts w:ascii="Arial" w:hAnsi="Arial" w:cs="Arial"/>
          <w:lang w:val="es-UY"/>
        </w:rPr>
      </w:pPr>
      <w:r w:rsidRPr="00B668BF">
        <w:rPr>
          <w:rFonts w:ascii="Arial" w:hAnsi="Arial" w:cs="Arial"/>
          <w:lang w:val="es-UY"/>
        </w:rPr>
        <w:t xml:space="preserve">7. Análisis e impacto de la gobernanza climática </w:t>
      </w:r>
    </w:p>
    <w:p w14:paraId="1B1484F1" w14:textId="77777777" w:rsidR="00B42430" w:rsidRPr="00B668BF" w:rsidRDefault="00B42430" w:rsidP="00B42430">
      <w:pPr>
        <w:pStyle w:val="Prrafodelista"/>
        <w:ind w:left="1080"/>
        <w:jc w:val="both"/>
        <w:rPr>
          <w:rFonts w:ascii="Arial" w:hAnsi="Arial" w:cs="Arial"/>
          <w:lang w:val="es-UY"/>
        </w:rPr>
      </w:pPr>
      <w:r w:rsidRPr="00B668BF">
        <w:rPr>
          <w:rFonts w:ascii="Arial" w:hAnsi="Arial" w:cs="Arial"/>
          <w:lang w:val="es-UY"/>
        </w:rPr>
        <w:t>8. Impacto de la Declaración de Belém en las comunidades indígenas y el uso de los recursos naturales</w:t>
      </w:r>
    </w:p>
    <w:p w14:paraId="6F303C73" w14:textId="10D6CA1D" w:rsidR="00936D72" w:rsidRPr="00B668BF" w:rsidRDefault="00936D72" w:rsidP="00B42430">
      <w:pPr>
        <w:pStyle w:val="Prrafodelista"/>
        <w:ind w:left="1080"/>
        <w:jc w:val="both"/>
        <w:rPr>
          <w:rFonts w:ascii="Arial" w:hAnsi="Arial" w:cs="Arial"/>
          <w:b/>
          <w:bCs/>
          <w:lang w:val="es-UY"/>
        </w:rPr>
      </w:pPr>
      <w:r w:rsidRPr="00B668BF">
        <w:rPr>
          <w:rFonts w:ascii="Arial" w:hAnsi="Arial" w:cs="Arial"/>
          <w:lang w:val="es-UY"/>
        </w:rPr>
        <w:t> </w:t>
      </w:r>
    </w:p>
    <w:p w14:paraId="1C05F5C1" w14:textId="3648D4E9" w:rsidR="00D3598D" w:rsidRPr="00B668BF" w:rsidRDefault="00D3598D" w:rsidP="00063911">
      <w:pPr>
        <w:pStyle w:val="Prrafodelista"/>
        <w:ind w:left="1080"/>
        <w:jc w:val="both"/>
        <w:rPr>
          <w:rFonts w:ascii="Arial" w:hAnsi="Arial" w:cs="Arial"/>
          <w:lang w:val="es-UY"/>
        </w:rPr>
      </w:pPr>
      <w:r w:rsidRPr="00B668BF">
        <w:rPr>
          <w:rFonts w:ascii="Arial" w:hAnsi="Arial" w:cs="Arial"/>
          <w:lang w:val="es-UY"/>
        </w:rPr>
        <w:t xml:space="preserve">Comentarios generales de los </w:t>
      </w:r>
      <w:r w:rsidR="00955BA8" w:rsidRPr="00B668BF">
        <w:rPr>
          <w:rFonts w:ascii="Arial" w:hAnsi="Arial" w:cs="Arial"/>
          <w:lang w:val="es-UY"/>
        </w:rPr>
        <w:t>fellows</w:t>
      </w:r>
      <w:r w:rsidRPr="00B668BF">
        <w:rPr>
          <w:rFonts w:ascii="Arial" w:hAnsi="Arial" w:cs="Arial"/>
          <w:lang w:val="es-UY"/>
        </w:rPr>
        <w:t xml:space="preserve"> sobre la conferencia presencial:</w:t>
      </w:r>
    </w:p>
    <w:p w14:paraId="5902EBAC" w14:textId="77777777" w:rsidR="00D3598D" w:rsidRPr="00B668BF" w:rsidRDefault="00D3598D" w:rsidP="00063911">
      <w:pPr>
        <w:pStyle w:val="Prrafodelista"/>
        <w:ind w:left="1080"/>
        <w:jc w:val="both"/>
        <w:rPr>
          <w:rFonts w:ascii="Arial" w:hAnsi="Arial" w:cs="Arial"/>
          <w:lang w:val="es-UY"/>
        </w:rPr>
      </w:pPr>
    </w:p>
    <w:p w14:paraId="11C90FDE" w14:textId="5437B3B0" w:rsidR="00936D72" w:rsidRPr="00B668BF" w:rsidRDefault="00936D72" w:rsidP="00063911">
      <w:pPr>
        <w:pStyle w:val="Prrafodelista"/>
        <w:ind w:left="1080"/>
        <w:jc w:val="both"/>
        <w:rPr>
          <w:rFonts w:ascii="Arial" w:hAnsi="Arial" w:cs="Arial"/>
          <w:i/>
          <w:iCs/>
          <w:lang w:val="es-UY"/>
        </w:rPr>
      </w:pPr>
      <w:r w:rsidRPr="00B668BF">
        <w:rPr>
          <w:rFonts w:ascii="Arial" w:hAnsi="Arial" w:cs="Arial"/>
          <w:i/>
          <w:iCs/>
          <w:lang w:val="es-UY"/>
        </w:rPr>
        <w:t>“</w:t>
      </w:r>
      <w:r w:rsidR="00063911" w:rsidRPr="00B668BF">
        <w:rPr>
          <w:rFonts w:ascii="Arial" w:hAnsi="Arial" w:cs="Arial"/>
          <w:i/>
          <w:iCs/>
          <w:lang w:val="es-UY"/>
        </w:rPr>
        <w:t xml:space="preserve">In </w:t>
      </w:r>
      <w:proofErr w:type="spellStart"/>
      <w:r w:rsidR="00063911" w:rsidRPr="00B668BF">
        <w:rPr>
          <w:rFonts w:ascii="Arial" w:hAnsi="Arial" w:cs="Arial"/>
          <w:i/>
          <w:iCs/>
          <w:lang w:val="es-UY"/>
        </w:rPr>
        <w:t>truth</w:t>
      </w:r>
      <w:proofErr w:type="spellEnd"/>
      <w:r w:rsidR="00063911" w:rsidRPr="00B668BF">
        <w:rPr>
          <w:rFonts w:ascii="Arial" w:hAnsi="Arial" w:cs="Arial"/>
          <w:i/>
          <w:iCs/>
          <w:lang w:val="es-UY"/>
        </w:rPr>
        <w:t xml:space="preserve">, </w:t>
      </w:r>
      <w:proofErr w:type="spellStart"/>
      <w:r w:rsidR="00063911" w:rsidRPr="00B668BF">
        <w:rPr>
          <w:rFonts w:ascii="Arial" w:hAnsi="Arial" w:cs="Arial"/>
          <w:i/>
          <w:iCs/>
          <w:lang w:val="es-UY"/>
        </w:rPr>
        <w:t>this</w:t>
      </w:r>
      <w:proofErr w:type="spellEnd"/>
      <w:r w:rsidR="00063911" w:rsidRPr="00B668BF">
        <w:rPr>
          <w:rFonts w:ascii="Arial" w:hAnsi="Arial" w:cs="Arial"/>
          <w:i/>
          <w:iCs/>
          <w:lang w:val="es-UY"/>
        </w:rPr>
        <w:t xml:space="preserve"> </w:t>
      </w:r>
      <w:proofErr w:type="spellStart"/>
      <w:r w:rsidR="00063911" w:rsidRPr="00B668BF">
        <w:rPr>
          <w:rFonts w:ascii="Arial" w:hAnsi="Arial" w:cs="Arial"/>
          <w:i/>
          <w:iCs/>
          <w:lang w:val="es-UY"/>
        </w:rPr>
        <w:t>experience</w:t>
      </w:r>
      <w:proofErr w:type="spellEnd"/>
      <w:r w:rsidR="00063911" w:rsidRPr="00B668BF">
        <w:rPr>
          <w:rFonts w:ascii="Arial" w:hAnsi="Arial" w:cs="Arial"/>
          <w:i/>
          <w:iCs/>
          <w:lang w:val="es-UY"/>
        </w:rPr>
        <w:t xml:space="preserve"> has </w:t>
      </w:r>
      <w:proofErr w:type="spellStart"/>
      <w:r w:rsidR="00063911" w:rsidRPr="00B668BF">
        <w:rPr>
          <w:rFonts w:ascii="Arial" w:hAnsi="Arial" w:cs="Arial"/>
          <w:i/>
          <w:iCs/>
          <w:lang w:val="es-UY"/>
        </w:rPr>
        <w:t>been</w:t>
      </w:r>
      <w:proofErr w:type="spellEnd"/>
      <w:r w:rsidR="00063911" w:rsidRPr="00B668BF">
        <w:rPr>
          <w:rFonts w:ascii="Arial" w:hAnsi="Arial" w:cs="Arial"/>
          <w:i/>
          <w:iCs/>
          <w:lang w:val="es-UY"/>
        </w:rPr>
        <w:t xml:space="preserve"> </w:t>
      </w:r>
      <w:proofErr w:type="spellStart"/>
      <w:r w:rsidR="00063911" w:rsidRPr="00B668BF">
        <w:rPr>
          <w:rFonts w:ascii="Arial" w:hAnsi="Arial" w:cs="Arial"/>
          <w:i/>
          <w:iCs/>
          <w:lang w:val="es-UY"/>
        </w:rPr>
        <w:t>the</w:t>
      </w:r>
      <w:proofErr w:type="spellEnd"/>
      <w:r w:rsidR="00063911" w:rsidRPr="00B668BF">
        <w:rPr>
          <w:rFonts w:ascii="Arial" w:hAnsi="Arial" w:cs="Arial"/>
          <w:i/>
          <w:iCs/>
          <w:lang w:val="es-UY"/>
        </w:rPr>
        <w:t xml:space="preserve"> </w:t>
      </w:r>
      <w:proofErr w:type="spellStart"/>
      <w:r w:rsidR="00063911" w:rsidRPr="00B668BF">
        <w:rPr>
          <w:rFonts w:ascii="Arial" w:hAnsi="Arial" w:cs="Arial"/>
          <w:i/>
          <w:iCs/>
          <w:lang w:val="es-UY"/>
        </w:rPr>
        <w:t>best</w:t>
      </w:r>
      <w:proofErr w:type="spellEnd"/>
      <w:r w:rsidR="00063911" w:rsidRPr="00B668BF">
        <w:rPr>
          <w:rFonts w:ascii="Arial" w:hAnsi="Arial" w:cs="Arial"/>
          <w:i/>
          <w:iCs/>
          <w:lang w:val="es-UY"/>
        </w:rPr>
        <w:t xml:space="preserve"> I </w:t>
      </w:r>
      <w:proofErr w:type="spellStart"/>
      <w:r w:rsidR="00063911" w:rsidRPr="00B668BF">
        <w:rPr>
          <w:rFonts w:ascii="Arial" w:hAnsi="Arial" w:cs="Arial"/>
          <w:i/>
          <w:iCs/>
          <w:lang w:val="es-UY"/>
        </w:rPr>
        <w:t>have</w:t>
      </w:r>
      <w:proofErr w:type="spellEnd"/>
      <w:r w:rsidR="00063911" w:rsidRPr="00B668BF">
        <w:rPr>
          <w:rFonts w:ascii="Arial" w:hAnsi="Arial" w:cs="Arial"/>
          <w:i/>
          <w:iCs/>
          <w:lang w:val="es-UY"/>
        </w:rPr>
        <w:t xml:space="preserve"> </w:t>
      </w:r>
      <w:proofErr w:type="spellStart"/>
      <w:r w:rsidR="00063911" w:rsidRPr="00B668BF">
        <w:rPr>
          <w:rFonts w:ascii="Arial" w:hAnsi="Arial" w:cs="Arial"/>
          <w:i/>
          <w:iCs/>
          <w:lang w:val="es-UY"/>
        </w:rPr>
        <w:t>ever</w:t>
      </w:r>
      <w:proofErr w:type="spellEnd"/>
      <w:r w:rsidR="00063911" w:rsidRPr="00B668BF">
        <w:rPr>
          <w:rFonts w:ascii="Arial" w:hAnsi="Arial" w:cs="Arial"/>
          <w:i/>
          <w:iCs/>
          <w:lang w:val="es-UY"/>
        </w:rPr>
        <w:t xml:space="preserve"> </w:t>
      </w:r>
      <w:proofErr w:type="spellStart"/>
      <w:r w:rsidR="00063911" w:rsidRPr="00B668BF">
        <w:rPr>
          <w:rFonts w:ascii="Arial" w:hAnsi="Arial" w:cs="Arial"/>
          <w:i/>
          <w:iCs/>
          <w:lang w:val="es-UY"/>
        </w:rPr>
        <w:t>had</w:t>
      </w:r>
      <w:proofErr w:type="spellEnd"/>
      <w:r w:rsidR="00063911" w:rsidRPr="00B668BF">
        <w:rPr>
          <w:rFonts w:ascii="Arial" w:hAnsi="Arial" w:cs="Arial"/>
          <w:i/>
          <w:iCs/>
          <w:lang w:val="es-UY"/>
        </w:rPr>
        <w:t xml:space="preserve"> in </w:t>
      </w:r>
      <w:proofErr w:type="spellStart"/>
      <w:r w:rsidR="00063911" w:rsidRPr="00B668BF">
        <w:rPr>
          <w:rFonts w:ascii="Arial" w:hAnsi="Arial" w:cs="Arial"/>
          <w:i/>
          <w:iCs/>
          <w:lang w:val="es-UY"/>
        </w:rPr>
        <w:t>my</w:t>
      </w:r>
      <w:proofErr w:type="spellEnd"/>
      <w:r w:rsidR="00063911" w:rsidRPr="00B668BF">
        <w:rPr>
          <w:rFonts w:ascii="Arial" w:hAnsi="Arial" w:cs="Arial"/>
          <w:i/>
          <w:iCs/>
          <w:lang w:val="es-UY"/>
        </w:rPr>
        <w:t xml:space="preserve"> </w:t>
      </w:r>
      <w:proofErr w:type="spellStart"/>
      <w:r w:rsidR="00063911" w:rsidRPr="00B668BF">
        <w:rPr>
          <w:rFonts w:ascii="Arial" w:hAnsi="Arial" w:cs="Arial"/>
          <w:i/>
          <w:iCs/>
          <w:lang w:val="es-UY"/>
        </w:rPr>
        <w:t>life</w:t>
      </w:r>
      <w:proofErr w:type="spellEnd"/>
      <w:r w:rsidR="00063911" w:rsidRPr="00B668BF">
        <w:rPr>
          <w:rFonts w:ascii="Arial" w:hAnsi="Arial" w:cs="Arial"/>
          <w:i/>
          <w:iCs/>
          <w:lang w:val="es-UY"/>
        </w:rPr>
        <w:t xml:space="preserve">, in </w:t>
      </w:r>
      <w:proofErr w:type="spellStart"/>
      <w:r w:rsidR="00063911" w:rsidRPr="00B668BF">
        <w:rPr>
          <w:rFonts w:ascii="Arial" w:hAnsi="Arial" w:cs="Arial"/>
          <w:i/>
          <w:iCs/>
          <w:lang w:val="es-UY"/>
        </w:rPr>
        <w:t>many</w:t>
      </w:r>
      <w:proofErr w:type="spellEnd"/>
      <w:r w:rsidR="00063911" w:rsidRPr="00B668BF">
        <w:rPr>
          <w:rFonts w:ascii="Arial" w:hAnsi="Arial" w:cs="Arial"/>
          <w:i/>
          <w:iCs/>
          <w:lang w:val="es-UY"/>
        </w:rPr>
        <w:t xml:space="preserve"> </w:t>
      </w:r>
      <w:proofErr w:type="spellStart"/>
      <w:r w:rsidR="00063911" w:rsidRPr="00B668BF">
        <w:rPr>
          <w:rFonts w:ascii="Arial" w:hAnsi="Arial" w:cs="Arial"/>
          <w:i/>
          <w:iCs/>
          <w:lang w:val="es-UY"/>
        </w:rPr>
        <w:t>ways</w:t>
      </w:r>
      <w:proofErr w:type="spellEnd"/>
      <w:r w:rsidR="00063911" w:rsidRPr="00B668BF">
        <w:rPr>
          <w:rFonts w:ascii="Arial" w:hAnsi="Arial" w:cs="Arial"/>
          <w:i/>
          <w:iCs/>
          <w:lang w:val="es-UY"/>
        </w:rPr>
        <w:t>.</w:t>
      </w:r>
      <w:r w:rsidR="003530BC">
        <w:rPr>
          <w:rFonts w:ascii="Arial" w:hAnsi="Arial" w:cs="Arial"/>
          <w:i/>
          <w:iCs/>
          <w:lang w:val="es-UY"/>
        </w:rPr>
        <w:t xml:space="preserve"> </w:t>
      </w:r>
      <w:r w:rsidR="00063911" w:rsidRPr="00B668BF">
        <w:rPr>
          <w:rFonts w:ascii="Arial" w:hAnsi="Arial" w:cs="Arial"/>
          <w:i/>
          <w:iCs/>
          <w:lang w:val="es-UY"/>
        </w:rPr>
        <w:t xml:space="preserve">/ </w:t>
      </w:r>
      <w:r w:rsidR="00B52E0C" w:rsidRPr="00B668BF">
        <w:rPr>
          <w:rFonts w:ascii="Arial" w:hAnsi="Arial" w:cs="Arial"/>
          <w:i/>
          <w:iCs/>
          <w:lang w:val="es-UY"/>
        </w:rPr>
        <w:t>La verdad, esta experiencia ha sido la mejor que he tenido en mi vida, en muchos aspectos.</w:t>
      </w:r>
      <w:r w:rsidR="00063911" w:rsidRPr="00B668BF">
        <w:rPr>
          <w:rFonts w:ascii="Arial" w:hAnsi="Arial" w:cs="Arial"/>
          <w:i/>
          <w:iCs/>
          <w:lang w:val="es-UY"/>
        </w:rPr>
        <w:t>”</w:t>
      </w:r>
    </w:p>
    <w:p w14:paraId="6775C9BA" w14:textId="77777777" w:rsidR="00063911" w:rsidRPr="00B668BF" w:rsidRDefault="00063911" w:rsidP="00063911">
      <w:pPr>
        <w:pStyle w:val="Prrafodelista"/>
        <w:ind w:left="1080"/>
        <w:jc w:val="both"/>
        <w:rPr>
          <w:rFonts w:ascii="Arial" w:hAnsi="Arial" w:cs="Arial"/>
          <w:i/>
          <w:iCs/>
          <w:lang w:val="es-UY"/>
        </w:rPr>
      </w:pPr>
    </w:p>
    <w:p w14:paraId="2B0E1EB8" w14:textId="14453B51" w:rsidR="00B52E0C" w:rsidRPr="00B668BF" w:rsidRDefault="00936D72" w:rsidP="00B52E0C">
      <w:pPr>
        <w:pStyle w:val="Prrafodelista"/>
        <w:ind w:left="1080"/>
        <w:jc w:val="both"/>
        <w:rPr>
          <w:rFonts w:ascii="Arial" w:hAnsi="Arial" w:cs="Arial"/>
          <w:i/>
          <w:iCs/>
          <w:lang w:val="es-UY"/>
        </w:rPr>
      </w:pPr>
      <w:r w:rsidRPr="00A556E9">
        <w:rPr>
          <w:rFonts w:ascii="Arial" w:hAnsi="Arial" w:cs="Arial"/>
          <w:i/>
          <w:iCs/>
        </w:rPr>
        <w:t>“</w:t>
      </w:r>
      <w:r w:rsidR="00B52E0C" w:rsidRPr="00A556E9">
        <w:rPr>
          <w:rFonts w:ascii="Arial" w:hAnsi="Arial" w:cs="Arial"/>
          <w:i/>
          <w:iCs/>
        </w:rPr>
        <w:t xml:space="preserve">The field trip was an enriching learning experience and, at the same time, gave us an opportunity to bond as a group. </w:t>
      </w:r>
      <w:proofErr w:type="spellStart"/>
      <w:r w:rsidR="00B52E0C" w:rsidRPr="00B668BF">
        <w:rPr>
          <w:rFonts w:ascii="Arial" w:hAnsi="Arial" w:cs="Arial"/>
          <w:i/>
          <w:iCs/>
          <w:lang w:val="es-UY"/>
        </w:rPr>
        <w:t>The</w:t>
      </w:r>
      <w:proofErr w:type="spellEnd"/>
      <w:r w:rsidR="00B52E0C" w:rsidRPr="00B668BF">
        <w:rPr>
          <w:rFonts w:ascii="Arial" w:hAnsi="Arial" w:cs="Arial"/>
          <w:i/>
          <w:iCs/>
          <w:lang w:val="es-UY"/>
        </w:rPr>
        <w:t xml:space="preserve"> </w:t>
      </w:r>
      <w:proofErr w:type="spellStart"/>
      <w:r w:rsidR="00B52E0C" w:rsidRPr="00B668BF">
        <w:rPr>
          <w:rFonts w:ascii="Arial" w:hAnsi="Arial" w:cs="Arial"/>
          <w:i/>
          <w:iCs/>
          <w:lang w:val="es-UY"/>
        </w:rPr>
        <w:t>mock</w:t>
      </w:r>
      <w:proofErr w:type="spellEnd"/>
      <w:r w:rsidR="00B52E0C" w:rsidRPr="00B668BF">
        <w:rPr>
          <w:rFonts w:ascii="Arial" w:hAnsi="Arial" w:cs="Arial"/>
          <w:i/>
          <w:iCs/>
          <w:lang w:val="es-UY"/>
        </w:rPr>
        <w:t xml:space="preserve"> </w:t>
      </w:r>
      <w:proofErr w:type="spellStart"/>
      <w:r w:rsidR="00B52E0C" w:rsidRPr="00B668BF">
        <w:rPr>
          <w:rFonts w:ascii="Arial" w:hAnsi="Arial" w:cs="Arial"/>
          <w:i/>
          <w:iCs/>
          <w:lang w:val="es-UY"/>
        </w:rPr>
        <w:t>negotiations</w:t>
      </w:r>
      <w:proofErr w:type="spellEnd"/>
      <w:r w:rsidR="00B52E0C" w:rsidRPr="00B668BF">
        <w:rPr>
          <w:rFonts w:ascii="Arial" w:hAnsi="Arial" w:cs="Arial"/>
          <w:i/>
          <w:iCs/>
          <w:lang w:val="es-UY"/>
        </w:rPr>
        <w:t xml:space="preserve"> </w:t>
      </w:r>
      <w:proofErr w:type="spellStart"/>
      <w:r w:rsidR="00B52E0C" w:rsidRPr="00B668BF">
        <w:rPr>
          <w:rFonts w:ascii="Arial" w:hAnsi="Arial" w:cs="Arial"/>
          <w:i/>
          <w:iCs/>
          <w:lang w:val="es-UY"/>
        </w:rPr>
        <w:t>were</w:t>
      </w:r>
      <w:proofErr w:type="spellEnd"/>
      <w:r w:rsidR="00B52E0C" w:rsidRPr="00B668BF">
        <w:rPr>
          <w:rFonts w:ascii="Arial" w:hAnsi="Arial" w:cs="Arial"/>
          <w:i/>
          <w:iCs/>
          <w:lang w:val="es-UY"/>
        </w:rPr>
        <w:t xml:space="preserve"> a </w:t>
      </w:r>
      <w:proofErr w:type="spellStart"/>
      <w:r w:rsidR="00B52E0C" w:rsidRPr="00B668BF">
        <w:rPr>
          <w:rFonts w:ascii="Arial" w:hAnsi="Arial" w:cs="Arial"/>
          <w:i/>
          <w:iCs/>
          <w:lang w:val="es-UY"/>
        </w:rPr>
        <w:t>whole</w:t>
      </w:r>
      <w:proofErr w:type="spellEnd"/>
      <w:r w:rsidR="00B52E0C" w:rsidRPr="00B668BF">
        <w:rPr>
          <w:rFonts w:ascii="Arial" w:hAnsi="Arial" w:cs="Arial"/>
          <w:i/>
          <w:iCs/>
          <w:lang w:val="es-UY"/>
        </w:rPr>
        <w:t xml:space="preserve"> </w:t>
      </w:r>
      <w:proofErr w:type="spellStart"/>
      <w:r w:rsidR="00B52E0C" w:rsidRPr="00B668BF">
        <w:rPr>
          <w:rFonts w:ascii="Arial" w:hAnsi="Arial" w:cs="Arial"/>
          <w:i/>
          <w:iCs/>
          <w:lang w:val="es-UY"/>
        </w:rPr>
        <w:t>course</w:t>
      </w:r>
      <w:proofErr w:type="spellEnd"/>
      <w:r w:rsidR="00B52E0C" w:rsidRPr="00B668BF">
        <w:rPr>
          <w:rFonts w:ascii="Arial" w:hAnsi="Arial" w:cs="Arial"/>
          <w:i/>
          <w:iCs/>
          <w:lang w:val="es-UY"/>
        </w:rPr>
        <w:t xml:space="preserve"> in </w:t>
      </w:r>
      <w:proofErr w:type="spellStart"/>
      <w:r w:rsidR="00B52E0C" w:rsidRPr="00B668BF">
        <w:rPr>
          <w:rFonts w:ascii="Arial" w:hAnsi="Arial" w:cs="Arial"/>
          <w:i/>
          <w:iCs/>
          <w:lang w:val="es-UY"/>
        </w:rPr>
        <w:t>itself</w:t>
      </w:r>
      <w:proofErr w:type="spellEnd"/>
      <w:r w:rsidR="00B52E0C" w:rsidRPr="00B668BF">
        <w:rPr>
          <w:rFonts w:ascii="Arial" w:hAnsi="Arial" w:cs="Arial"/>
          <w:i/>
          <w:iCs/>
          <w:lang w:val="es-UY"/>
        </w:rPr>
        <w:t xml:space="preserve">, and </w:t>
      </w:r>
      <w:proofErr w:type="spellStart"/>
      <w:r w:rsidR="00B52E0C" w:rsidRPr="00B668BF">
        <w:rPr>
          <w:rFonts w:ascii="Arial" w:hAnsi="Arial" w:cs="Arial"/>
          <w:i/>
          <w:iCs/>
          <w:lang w:val="es-UY"/>
        </w:rPr>
        <w:t>one</w:t>
      </w:r>
      <w:proofErr w:type="spellEnd"/>
      <w:r w:rsidR="00B52E0C" w:rsidRPr="00B668BF">
        <w:rPr>
          <w:rFonts w:ascii="Arial" w:hAnsi="Arial" w:cs="Arial"/>
          <w:i/>
          <w:iCs/>
          <w:lang w:val="es-UY"/>
        </w:rPr>
        <w:t xml:space="preserve"> </w:t>
      </w:r>
      <w:proofErr w:type="spellStart"/>
      <w:r w:rsidR="00B52E0C" w:rsidRPr="00B668BF">
        <w:rPr>
          <w:rFonts w:ascii="Arial" w:hAnsi="Arial" w:cs="Arial"/>
          <w:i/>
          <w:iCs/>
          <w:lang w:val="es-UY"/>
        </w:rPr>
        <w:t>of</w:t>
      </w:r>
      <w:proofErr w:type="spellEnd"/>
      <w:r w:rsidR="00B52E0C" w:rsidRPr="00B668BF">
        <w:rPr>
          <w:rFonts w:ascii="Arial" w:hAnsi="Arial" w:cs="Arial"/>
          <w:i/>
          <w:iCs/>
          <w:lang w:val="es-UY"/>
        </w:rPr>
        <w:t xml:space="preserve"> </w:t>
      </w:r>
      <w:proofErr w:type="spellStart"/>
      <w:r w:rsidR="00B52E0C" w:rsidRPr="00B668BF">
        <w:rPr>
          <w:rFonts w:ascii="Arial" w:hAnsi="Arial" w:cs="Arial"/>
          <w:i/>
          <w:iCs/>
          <w:lang w:val="es-UY"/>
        </w:rPr>
        <w:t>the</w:t>
      </w:r>
      <w:proofErr w:type="spellEnd"/>
      <w:r w:rsidR="00B52E0C" w:rsidRPr="00B668BF">
        <w:rPr>
          <w:rFonts w:ascii="Arial" w:hAnsi="Arial" w:cs="Arial"/>
          <w:i/>
          <w:iCs/>
          <w:lang w:val="es-UY"/>
        </w:rPr>
        <w:t xml:space="preserve"> </w:t>
      </w:r>
      <w:proofErr w:type="spellStart"/>
      <w:r w:rsidR="00B52E0C" w:rsidRPr="00B668BF">
        <w:rPr>
          <w:rFonts w:ascii="Arial" w:hAnsi="Arial" w:cs="Arial"/>
          <w:i/>
          <w:iCs/>
          <w:lang w:val="es-UY"/>
        </w:rPr>
        <w:t>best</w:t>
      </w:r>
      <w:proofErr w:type="spellEnd"/>
      <w:r w:rsidR="00B52E0C" w:rsidRPr="00B668BF">
        <w:rPr>
          <w:rFonts w:ascii="Arial" w:hAnsi="Arial" w:cs="Arial"/>
          <w:i/>
          <w:iCs/>
          <w:lang w:val="es-UY"/>
        </w:rPr>
        <w:t xml:space="preserve"> trainings I </w:t>
      </w:r>
      <w:proofErr w:type="spellStart"/>
      <w:r w:rsidR="00B52E0C" w:rsidRPr="00B668BF">
        <w:rPr>
          <w:rFonts w:ascii="Arial" w:hAnsi="Arial" w:cs="Arial"/>
          <w:i/>
          <w:iCs/>
          <w:lang w:val="es-UY"/>
        </w:rPr>
        <w:t>have</w:t>
      </w:r>
      <w:proofErr w:type="spellEnd"/>
      <w:r w:rsidR="00B52E0C" w:rsidRPr="00B668BF">
        <w:rPr>
          <w:rFonts w:ascii="Arial" w:hAnsi="Arial" w:cs="Arial"/>
          <w:i/>
          <w:iCs/>
          <w:lang w:val="es-UY"/>
        </w:rPr>
        <w:t xml:space="preserve"> </w:t>
      </w:r>
      <w:proofErr w:type="spellStart"/>
      <w:r w:rsidR="00B52E0C" w:rsidRPr="00B668BF">
        <w:rPr>
          <w:rFonts w:ascii="Arial" w:hAnsi="Arial" w:cs="Arial"/>
          <w:i/>
          <w:iCs/>
          <w:lang w:val="es-UY"/>
        </w:rPr>
        <w:t>ever</w:t>
      </w:r>
      <w:proofErr w:type="spellEnd"/>
      <w:r w:rsidR="00B52E0C" w:rsidRPr="00B668BF">
        <w:rPr>
          <w:rFonts w:ascii="Arial" w:hAnsi="Arial" w:cs="Arial"/>
          <w:i/>
          <w:iCs/>
          <w:lang w:val="es-UY"/>
        </w:rPr>
        <w:t xml:space="preserve"> </w:t>
      </w:r>
      <w:proofErr w:type="spellStart"/>
      <w:r w:rsidR="00B52E0C" w:rsidRPr="00B668BF">
        <w:rPr>
          <w:rFonts w:ascii="Arial" w:hAnsi="Arial" w:cs="Arial"/>
          <w:i/>
          <w:iCs/>
          <w:lang w:val="es-UY"/>
        </w:rPr>
        <w:t>had</w:t>
      </w:r>
      <w:proofErr w:type="spellEnd"/>
      <w:r w:rsidR="00B52E0C" w:rsidRPr="00B668BF">
        <w:rPr>
          <w:rFonts w:ascii="Arial" w:hAnsi="Arial" w:cs="Arial"/>
          <w:i/>
          <w:iCs/>
          <w:lang w:val="es-UY"/>
        </w:rPr>
        <w:t>.</w:t>
      </w:r>
      <w:r w:rsidR="003530BC">
        <w:rPr>
          <w:rFonts w:ascii="Arial" w:hAnsi="Arial" w:cs="Arial"/>
          <w:i/>
          <w:iCs/>
          <w:lang w:val="es-UY"/>
        </w:rPr>
        <w:t xml:space="preserve"> / </w:t>
      </w:r>
      <w:r w:rsidR="003530BC" w:rsidRPr="003530BC">
        <w:rPr>
          <w:rFonts w:ascii="Arial" w:hAnsi="Arial" w:cs="Arial"/>
          <w:i/>
          <w:iCs/>
          <w:lang w:val="es-UY"/>
        </w:rPr>
        <w:t>La excursión fue una experiencia de aprendizaje enriquecedora y, al mismo tiempo, nos dio la oportunidad de unirnos como grupo. Los simulacros de negociaciones fueron todo un curso en sí mismo, y uno de los mejores entrenamientos que he tenido</w:t>
      </w:r>
      <w:r w:rsidR="00063911" w:rsidRPr="00B668BF">
        <w:rPr>
          <w:rFonts w:ascii="Arial" w:hAnsi="Arial" w:cs="Arial"/>
          <w:i/>
          <w:iCs/>
          <w:lang w:val="es-UY"/>
        </w:rPr>
        <w:t>”</w:t>
      </w:r>
    </w:p>
    <w:p w14:paraId="316D9812" w14:textId="77777777" w:rsidR="00063911" w:rsidRPr="00B668BF" w:rsidRDefault="00063911" w:rsidP="00B52E0C">
      <w:pPr>
        <w:pStyle w:val="Prrafodelista"/>
        <w:ind w:left="1080"/>
        <w:jc w:val="both"/>
        <w:rPr>
          <w:rFonts w:ascii="Arial" w:hAnsi="Arial" w:cs="Arial"/>
          <w:i/>
          <w:iCs/>
          <w:lang w:val="es-UY"/>
        </w:rPr>
      </w:pPr>
    </w:p>
    <w:p w14:paraId="2C4FAAB0" w14:textId="5A1DB2ED" w:rsidR="00063911" w:rsidRPr="00B668BF" w:rsidRDefault="00063911" w:rsidP="00063911">
      <w:pPr>
        <w:pStyle w:val="Prrafodelista"/>
        <w:ind w:left="1080"/>
        <w:jc w:val="both"/>
        <w:rPr>
          <w:rFonts w:ascii="Arial" w:hAnsi="Arial" w:cs="Arial"/>
          <w:i/>
          <w:iCs/>
          <w:lang w:val="es-UY"/>
        </w:rPr>
      </w:pPr>
      <w:r w:rsidRPr="00A556E9">
        <w:rPr>
          <w:rFonts w:ascii="Arial" w:hAnsi="Arial" w:cs="Arial"/>
          <w:i/>
          <w:iCs/>
        </w:rPr>
        <w:t xml:space="preserve">“I really enjoyed having the opportunity to meet and share with colleagues from the </w:t>
      </w:r>
      <w:proofErr w:type="spellStart"/>
      <w:r w:rsidRPr="00A556E9">
        <w:rPr>
          <w:rFonts w:ascii="Arial" w:hAnsi="Arial" w:cs="Arial"/>
          <w:i/>
          <w:iCs/>
        </w:rPr>
        <w:t>STeP</w:t>
      </w:r>
      <w:proofErr w:type="spellEnd"/>
      <w:r w:rsidRPr="00A556E9">
        <w:rPr>
          <w:rFonts w:ascii="Arial" w:hAnsi="Arial" w:cs="Arial"/>
          <w:i/>
          <w:iCs/>
        </w:rPr>
        <w:t xml:space="preserve"> program. The spaces designed to exchange and share our views and experiences seemed to me extremely </w:t>
      </w:r>
      <w:proofErr w:type="gramStart"/>
      <w:r w:rsidRPr="00A556E9">
        <w:rPr>
          <w:rFonts w:ascii="Arial" w:hAnsi="Arial" w:cs="Arial"/>
          <w:i/>
          <w:iCs/>
        </w:rPr>
        <w:t>rich./</w:t>
      </w:r>
      <w:proofErr w:type="gramEnd"/>
      <w:r w:rsidRPr="00A556E9">
        <w:rPr>
          <w:rFonts w:ascii="Arial" w:hAnsi="Arial" w:cs="Arial"/>
          <w:i/>
          <w:iCs/>
        </w:rPr>
        <w:t xml:space="preserve"> </w:t>
      </w:r>
      <w:r w:rsidRPr="00B668BF">
        <w:rPr>
          <w:rFonts w:ascii="Arial" w:hAnsi="Arial" w:cs="Arial"/>
          <w:i/>
          <w:iCs/>
          <w:lang w:val="es-UY"/>
        </w:rPr>
        <w:t xml:space="preserve">Me gustó mucho tener la posibilidad de encontrarme y compartir con colegas del </w:t>
      </w:r>
      <w:proofErr w:type="spellStart"/>
      <w:r w:rsidRPr="00B668BF">
        <w:rPr>
          <w:rFonts w:ascii="Arial" w:hAnsi="Arial" w:cs="Arial"/>
          <w:i/>
          <w:iCs/>
          <w:lang w:val="es-UY"/>
        </w:rPr>
        <w:t>STeP</w:t>
      </w:r>
      <w:proofErr w:type="spellEnd"/>
      <w:r w:rsidRPr="00B668BF">
        <w:rPr>
          <w:rFonts w:ascii="Arial" w:hAnsi="Arial" w:cs="Arial"/>
          <w:i/>
          <w:iCs/>
          <w:lang w:val="es-UY"/>
        </w:rPr>
        <w:t xml:space="preserve"> </w:t>
      </w:r>
      <w:proofErr w:type="spellStart"/>
      <w:r w:rsidRPr="00B668BF">
        <w:rPr>
          <w:rFonts w:ascii="Arial" w:hAnsi="Arial" w:cs="Arial"/>
          <w:i/>
          <w:iCs/>
          <w:lang w:val="es-UY"/>
        </w:rPr>
        <w:t>program</w:t>
      </w:r>
      <w:proofErr w:type="spellEnd"/>
      <w:r w:rsidRPr="00B668BF">
        <w:rPr>
          <w:rFonts w:ascii="Arial" w:hAnsi="Arial" w:cs="Arial"/>
          <w:i/>
          <w:iCs/>
          <w:lang w:val="es-UY"/>
        </w:rPr>
        <w:t>. Los espacios pensados para intercambiar y compartir nuestras miradas y experiencias me parecieron sumamente ricos.”</w:t>
      </w:r>
    </w:p>
    <w:p w14:paraId="2705FFF2" w14:textId="77777777" w:rsidR="00063911" w:rsidRPr="00B668BF" w:rsidRDefault="00063911" w:rsidP="00063911">
      <w:pPr>
        <w:pStyle w:val="Prrafodelista"/>
        <w:ind w:left="1080"/>
        <w:jc w:val="both"/>
        <w:rPr>
          <w:rFonts w:ascii="Arial" w:hAnsi="Arial" w:cs="Arial"/>
          <w:i/>
          <w:iCs/>
          <w:lang w:val="es-UY"/>
        </w:rPr>
      </w:pPr>
    </w:p>
    <w:p w14:paraId="3AA2735C" w14:textId="7039DFE0" w:rsidR="00063911" w:rsidRPr="00B668BF" w:rsidRDefault="00D3598D" w:rsidP="00063911">
      <w:pPr>
        <w:pStyle w:val="Prrafodelista"/>
        <w:numPr>
          <w:ilvl w:val="0"/>
          <w:numId w:val="10"/>
        </w:numPr>
        <w:spacing w:after="0" w:line="240" w:lineRule="auto"/>
        <w:jc w:val="both"/>
        <w:rPr>
          <w:rFonts w:ascii="Arial" w:hAnsi="Arial" w:cs="Arial"/>
          <w:lang w:val="es-UY"/>
        </w:rPr>
      </w:pPr>
      <w:r w:rsidRPr="00B668BF">
        <w:rPr>
          <w:rFonts w:ascii="Arial" w:hAnsi="Arial" w:cs="Arial"/>
          <w:lang w:val="es-UY"/>
        </w:rPr>
        <w:t xml:space="preserve">En abril de 2024, el Programa </w:t>
      </w:r>
      <w:proofErr w:type="spellStart"/>
      <w:r w:rsidRPr="00B668BF">
        <w:rPr>
          <w:rFonts w:ascii="Arial" w:hAnsi="Arial" w:cs="Arial"/>
          <w:lang w:val="es-UY"/>
        </w:rPr>
        <w:t>STeP</w:t>
      </w:r>
      <w:proofErr w:type="spellEnd"/>
      <w:r w:rsidRPr="00B668BF">
        <w:rPr>
          <w:rFonts w:ascii="Arial" w:hAnsi="Arial" w:cs="Arial"/>
          <w:lang w:val="es-UY"/>
        </w:rPr>
        <w:t xml:space="preserve"> graduó a la segunda cohorte de </w:t>
      </w:r>
      <w:proofErr w:type="spellStart"/>
      <w:r w:rsidRPr="00B668BF">
        <w:rPr>
          <w:rFonts w:ascii="Arial" w:hAnsi="Arial" w:cs="Arial"/>
          <w:lang w:val="es-UY"/>
        </w:rPr>
        <w:t>Alumni</w:t>
      </w:r>
      <w:proofErr w:type="spellEnd"/>
      <w:r w:rsidRPr="00B668BF">
        <w:rPr>
          <w:rFonts w:ascii="Arial" w:hAnsi="Arial" w:cs="Arial"/>
          <w:lang w:val="es-UY"/>
        </w:rPr>
        <w:t xml:space="preserve"> (19 </w:t>
      </w:r>
      <w:proofErr w:type="spellStart"/>
      <w:r w:rsidRPr="00B668BF">
        <w:rPr>
          <w:rFonts w:ascii="Arial" w:hAnsi="Arial" w:cs="Arial"/>
          <w:lang w:val="es-UY"/>
        </w:rPr>
        <w:t>Fellows</w:t>
      </w:r>
      <w:proofErr w:type="spellEnd"/>
      <w:r w:rsidRPr="00B668BF">
        <w:rPr>
          <w:rFonts w:ascii="Arial" w:hAnsi="Arial" w:cs="Arial"/>
          <w:lang w:val="es-UY"/>
        </w:rPr>
        <w:t xml:space="preserve"> de la Generación 2). El programa cuenta actualmente con 39 egresados. Se ha desarrollado conjuntamente con los </w:t>
      </w:r>
      <w:r w:rsidR="00955BA8" w:rsidRPr="00B668BF">
        <w:rPr>
          <w:rFonts w:ascii="Arial" w:hAnsi="Arial" w:cs="Arial"/>
          <w:lang w:val="es-UY"/>
        </w:rPr>
        <w:t>fellows</w:t>
      </w:r>
      <w:r w:rsidRPr="00B668BF">
        <w:rPr>
          <w:rFonts w:ascii="Arial" w:hAnsi="Arial" w:cs="Arial"/>
          <w:lang w:val="es-UY"/>
        </w:rPr>
        <w:t xml:space="preserve"> una evaluación de impacto y una estrategia de participación de los exalumnos que se implementará durante el período entre sesiones 2024-2025</w:t>
      </w:r>
      <w:r w:rsidR="00063911" w:rsidRPr="00B668BF">
        <w:rPr>
          <w:rFonts w:ascii="Arial" w:hAnsi="Arial" w:cs="Arial"/>
          <w:lang w:val="es-UY"/>
        </w:rPr>
        <w:t xml:space="preserve">.  </w:t>
      </w:r>
    </w:p>
    <w:p w14:paraId="01269637" w14:textId="77777777" w:rsidR="00063911" w:rsidRPr="00B668BF" w:rsidRDefault="00063911" w:rsidP="00063911">
      <w:pPr>
        <w:pStyle w:val="Prrafodelista"/>
        <w:spacing w:after="0" w:line="240" w:lineRule="auto"/>
        <w:jc w:val="both"/>
        <w:rPr>
          <w:rFonts w:ascii="Arial" w:hAnsi="Arial" w:cs="Arial"/>
          <w:lang w:val="es-UY"/>
        </w:rPr>
      </w:pPr>
    </w:p>
    <w:p w14:paraId="406FCFCD" w14:textId="32D31D05" w:rsidR="00063911" w:rsidRPr="00B668BF" w:rsidRDefault="00F47C93" w:rsidP="00B668BF">
      <w:pPr>
        <w:pStyle w:val="Prrafodelista"/>
        <w:numPr>
          <w:ilvl w:val="0"/>
          <w:numId w:val="10"/>
        </w:numPr>
        <w:jc w:val="both"/>
        <w:rPr>
          <w:rFonts w:ascii="Arial" w:hAnsi="Arial" w:cs="Arial"/>
          <w:lang w:val="es-UY"/>
        </w:rPr>
      </w:pPr>
      <w:r w:rsidRPr="00B668BF">
        <w:rPr>
          <w:rFonts w:ascii="Arial" w:hAnsi="Arial" w:cs="Arial"/>
          <w:lang w:val="es-UY"/>
        </w:rPr>
        <w:t xml:space="preserve">Por primera vez, se implementó una estrategia de participación de supervisores para crear una comunidad y una red de instituciones anfitrionas para compartir estrategias para institucionalizar los programas de </w:t>
      </w:r>
      <w:proofErr w:type="spellStart"/>
      <w:r w:rsidRPr="00B668BF">
        <w:rPr>
          <w:rFonts w:ascii="Arial" w:hAnsi="Arial" w:cs="Arial"/>
          <w:lang w:val="es-UY"/>
        </w:rPr>
        <w:t>fellowship</w:t>
      </w:r>
      <w:proofErr w:type="spellEnd"/>
      <w:r w:rsidRPr="00B668BF">
        <w:rPr>
          <w:rFonts w:ascii="Arial" w:hAnsi="Arial" w:cs="Arial"/>
          <w:lang w:val="es-UY"/>
        </w:rPr>
        <w:t xml:space="preserve"> </w:t>
      </w:r>
      <w:proofErr w:type="spellStart"/>
      <w:r w:rsidRPr="00B668BF">
        <w:rPr>
          <w:rFonts w:ascii="Arial" w:hAnsi="Arial" w:cs="Arial"/>
          <w:lang w:val="es-UY"/>
        </w:rPr>
        <w:t>STeP</w:t>
      </w:r>
      <w:proofErr w:type="spellEnd"/>
      <w:r w:rsidRPr="00B668BF">
        <w:rPr>
          <w:rFonts w:ascii="Arial" w:hAnsi="Arial" w:cs="Arial"/>
          <w:lang w:val="es-UY"/>
        </w:rPr>
        <w:t xml:space="preserve">. Se llevaron a cabo tres reuniones trimestrales con los supervisores </w:t>
      </w:r>
      <w:r w:rsidR="00B668BF" w:rsidRPr="00B668BF">
        <w:rPr>
          <w:rFonts w:ascii="Arial" w:hAnsi="Arial" w:cs="Arial"/>
          <w:lang w:val="es-UY"/>
        </w:rPr>
        <w:t>fellows</w:t>
      </w:r>
      <w:r w:rsidRPr="00B668BF">
        <w:rPr>
          <w:rFonts w:ascii="Arial" w:hAnsi="Arial" w:cs="Arial"/>
          <w:lang w:val="es-UY"/>
        </w:rPr>
        <w:t xml:space="preserve">, incluidas sesiones destacadas, en las que se invitó a los supervisores a compartir su perspectiva sobre 1) cómo están estructurados sus programas de </w:t>
      </w:r>
      <w:proofErr w:type="spellStart"/>
      <w:r w:rsidRPr="00B668BF">
        <w:rPr>
          <w:rFonts w:ascii="Arial" w:hAnsi="Arial" w:cs="Arial"/>
          <w:lang w:val="es-UY"/>
        </w:rPr>
        <w:t>fellowship</w:t>
      </w:r>
      <w:proofErr w:type="spellEnd"/>
      <w:r w:rsidRPr="00B668BF">
        <w:rPr>
          <w:rFonts w:ascii="Arial" w:hAnsi="Arial" w:cs="Arial"/>
          <w:lang w:val="es-UY"/>
        </w:rPr>
        <w:t xml:space="preserve"> y 2) compartir políticas u otros impactos que tienen los </w:t>
      </w:r>
      <w:r w:rsidR="00B668BF" w:rsidRPr="00B668BF">
        <w:rPr>
          <w:rFonts w:ascii="Arial" w:hAnsi="Arial" w:cs="Arial"/>
          <w:lang w:val="es-UY"/>
        </w:rPr>
        <w:t>fellows</w:t>
      </w:r>
      <w:r w:rsidRPr="00B668BF">
        <w:rPr>
          <w:rFonts w:ascii="Arial" w:hAnsi="Arial" w:cs="Arial"/>
          <w:lang w:val="es-UY"/>
        </w:rPr>
        <w:t xml:space="preserve">.  </w:t>
      </w:r>
    </w:p>
    <w:p w14:paraId="1C83C2B1" w14:textId="77777777" w:rsidR="00063911" w:rsidRPr="00B668BF" w:rsidRDefault="00063911" w:rsidP="00063911">
      <w:pPr>
        <w:pStyle w:val="Prrafodelista"/>
        <w:rPr>
          <w:rFonts w:ascii="Arial" w:hAnsi="Arial" w:cs="Arial"/>
          <w:lang w:val="es-UY"/>
        </w:rPr>
      </w:pPr>
    </w:p>
    <w:p w14:paraId="1E3BF80E" w14:textId="7CB82F68" w:rsidR="00063911" w:rsidRPr="00B668BF" w:rsidRDefault="00F47C93" w:rsidP="00B668BF">
      <w:pPr>
        <w:pStyle w:val="Prrafodelista"/>
        <w:numPr>
          <w:ilvl w:val="0"/>
          <w:numId w:val="10"/>
        </w:numPr>
        <w:tabs>
          <w:tab w:val="clear" w:pos="720"/>
          <w:tab w:val="num" w:pos="360"/>
        </w:tabs>
        <w:jc w:val="both"/>
        <w:rPr>
          <w:rFonts w:ascii="Arial" w:hAnsi="Arial" w:cs="Arial"/>
          <w:u w:val="single"/>
          <w:lang w:val="es-UY"/>
        </w:rPr>
      </w:pPr>
      <w:r w:rsidRPr="00B668BF">
        <w:rPr>
          <w:rFonts w:ascii="Arial" w:hAnsi="Arial" w:cs="Arial"/>
          <w:lang w:val="es-UY"/>
        </w:rPr>
        <w:t xml:space="preserve">También se puso en marcha por primera vez un programa de tutoría para fortalecer la red individual de </w:t>
      </w:r>
      <w:proofErr w:type="spellStart"/>
      <w:r w:rsidRPr="00B668BF">
        <w:rPr>
          <w:rFonts w:ascii="Arial" w:hAnsi="Arial" w:cs="Arial"/>
          <w:lang w:val="es-UY"/>
        </w:rPr>
        <w:t>fellows</w:t>
      </w:r>
      <w:proofErr w:type="spellEnd"/>
      <w:r w:rsidRPr="00B668BF">
        <w:rPr>
          <w:rFonts w:ascii="Arial" w:hAnsi="Arial" w:cs="Arial"/>
          <w:lang w:val="es-UY"/>
        </w:rPr>
        <w:t xml:space="preserve"> del </w:t>
      </w:r>
      <w:proofErr w:type="spellStart"/>
      <w:r w:rsidRPr="00B668BF">
        <w:rPr>
          <w:rFonts w:ascii="Arial" w:hAnsi="Arial" w:cs="Arial"/>
          <w:lang w:val="es-UY"/>
        </w:rPr>
        <w:t>STeP</w:t>
      </w:r>
      <w:proofErr w:type="spellEnd"/>
      <w:r w:rsidRPr="00B668BF">
        <w:rPr>
          <w:rFonts w:ascii="Arial" w:hAnsi="Arial" w:cs="Arial"/>
          <w:lang w:val="es-UY"/>
        </w:rPr>
        <w:t xml:space="preserve"> a fin de que puedan alinear mejor las competencias necesarias para prosperar en la interfaz entre la ciencia y la política. Se asignaron ocho círculos de tutoría con voluntarios del Consejo Asesor de IAI SAC/SPAC/</w:t>
      </w:r>
      <w:proofErr w:type="spellStart"/>
      <w:r w:rsidRPr="00B668BF">
        <w:rPr>
          <w:rFonts w:ascii="Arial" w:hAnsi="Arial" w:cs="Arial"/>
          <w:lang w:val="es-UY"/>
        </w:rPr>
        <w:t>STeP</w:t>
      </w:r>
      <w:proofErr w:type="spellEnd"/>
      <w:r w:rsidRPr="00B668BF">
        <w:rPr>
          <w:rFonts w:ascii="Arial" w:hAnsi="Arial" w:cs="Arial"/>
          <w:lang w:val="es-UY"/>
        </w:rPr>
        <w:t xml:space="preserve"> </w:t>
      </w:r>
      <w:proofErr w:type="spellStart"/>
      <w:r w:rsidRPr="00B668BF">
        <w:rPr>
          <w:rFonts w:ascii="Arial" w:hAnsi="Arial" w:cs="Arial"/>
          <w:lang w:val="es-UY"/>
        </w:rPr>
        <w:t>Alumni</w:t>
      </w:r>
      <w:proofErr w:type="spellEnd"/>
      <w:r w:rsidRPr="00B668BF">
        <w:rPr>
          <w:rFonts w:ascii="Arial" w:hAnsi="Arial" w:cs="Arial"/>
          <w:lang w:val="es-UY"/>
        </w:rPr>
        <w:t xml:space="preserve">/SDC y otros </w:t>
      </w:r>
      <w:r w:rsidRPr="00B668BF">
        <w:rPr>
          <w:rFonts w:ascii="Arial" w:hAnsi="Arial" w:cs="Arial"/>
          <w:lang w:val="es-UY"/>
        </w:rPr>
        <w:lastRenderedPageBreak/>
        <w:t xml:space="preserve">expertos institucionales globales. Los mentores fueron emparejados con uno de los ocho proyectos del grupo de diplomacia científica. Un experto en tutoría basada en la evidencia también dirigió la capacitación virtual y presencial para mentores voluntarios y para fellows sobre tutoría entre pares (horizontal) y mapeo del ecosistema profesional. </w:t>
      </w:r>
    </w:p>
    <w:p w14:paraId="7CF99A09" w14:textId="77777777" w:rsidR="00F47C93" w:rsidRPr="00B668BF" w:rsidRDefault="00F47C93" w:rsidP="00063911">
      <w:pPr>
        <w:jc w:val="both"/>
        <w:rPr>
          <w:rFonts w:ascii="Arial" w:hAnsi="Arial" w:cs="Arial"/>
          <w:u w:val="single"/>
          <w:lang w:val="es-UY"/>
        </w:rPr>
      </w:pPr>
    </w:p>
    <w:p w14:paraId="11D56A21" w14:textId="77777777" w:rsidR="00F47C93" w:rsidRPr="00B668BF" w:rsidRDefault="003176BD" w:rsidP="00F47C93">
      <w:pPr>
        <w:jc w:val="both"/>
        <w:rPr>
          <w:rFonts w:ascii="Arial" w:hAnsi="Arial" w:cs="Arial"/>
          <w:u w:val="single"/>
          <w:lang w:val="es-UY"/>
        </w:rPr>
      </w:pPr>
      <w:r w:rsidRPr="00B668BF">
        <w:rPr>
          <w:rFonts w:ascii="Arial" w:hAnsi="Arial" w:cs="Arial"/>
          <w:u w:val="single"/>
          <w:lang w:val="es-UY"/>
        </w:rPr>
        <w:t>Recomendación</w:t>
      </w:r>
    </w:p>
    <w:p w14:paraId="374B755D" w14:textId="77777777" w:rsidR="00B668BF" w:rsidRPr="00B668BF" w:rsidRDefault="00B668BF" w:rsidP="00B668BF">
      <w:pPr>
        <w:pStyle w:val="Prrafodelista"/>
        <w:ind w:left="900"/>
        <w:jc w:val="both"/>
        <w:rPr>
          <w:rFonts w:ascii="Arial" w:hAnsi="Arial" w:cs="Arial"/>
          <w:lang w:val="es-UY"/>
        </w:rPr>
      </w:pPr>
    </w:p>
    <w:p w14:paraId="55F8276C" w14:textId="6FD2D069" w:rsidR="00310C01" w:rsidRPr="00B668BF" w:rsidRDefault="003176BD" w:rsidP="00B668BF">
      <w:pPr>
        <w:pStyle w:val="Prrafodelista"/>
        <w:numPr>
          <w:ilvl w:val="0"/>
          <w:numId w:val="10"/>
        </w:numPr>
        <w:jc w:val="both"/>
        <w:rPr>
          <w:rFonts w:ascii="Arial" w:hAnsi="Arial" w:cs="Arial"/>
          <w:u w:val="single"/>
          <w:lang w:val="es-UY"/>
        </w:rPr>
      </w:pPr>
      <w:r w:rsidRPr="00B668BF">
        <w:rPr>
          <w:rFonts w:ascii="Arial" w:hAnsi="Arial" w:cs="Arial"/>
          <w:lang w:val="es-UY"/>
        </w:rPr>
        <w:t>Se invita a la Conferencia de las Partes a tomar nota del presente documento informativo.</w:t>
      </w:r>
      <w:r w:rsidR="00310C01" w:rsidRPr="00B668BF">
        <w:rPr>
          <w:rFonts w:ascii="Arial" w:hAnsi="Arial" w:cs="Arial"/>
          <w:lang w:val="es-UY"/>
        </w:rPr>
        <w:t xml:space="preserve"> </w:t>
      </w:r>
    </w:p>
    <w:sectPr w:rsidR="00310C01" w:rsidRPr="00B668BF" w:rsidSect="00B668BF">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178B0"/>
    <w:multiLevelType w:val="hybridMultilevel"/>
    <w:tmpl w:val="9E1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B1A3A"/>
    <w:multiLevelType w:val="multilevel"/>
    <w:tmpl w:val="9550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E54CC"/>
    <w:multiLevelType w:val="hybridMultilevel"/>
    <w:tmpl w:val="DD3E1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C0BFC"/>
    <w:multiLevelType w:val="hybridMultilevel"/>
    <w:tmpl w:val="FAC4FB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F950713"/>
    <w:multiLevelType w:val="multilevel"/>
    <w:tmpl w:val="CD10927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F6AD3"/>
    <w:multiLevelType w:val="multilevel"/>
    <w:tmpl w:val="D62C1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3B6F85"/>
    <w:multiLevelType w:val="multilevel"/>
    <w:tmpl w:val="0880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7295A"/>
    <w:multiLevelType w:val="hybridMultilevel"/>
    <w:tmpl w:val="28CEAC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A1C55A9"/>
    <w:multiLevelType w:val="multilevel"/>
    <w:tmpl w:val="4A16B4D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4B845981"/>
    <w:multiLevelType w:val="hybridMultilevel"/>
    <w:tmpl w:val="2F5A1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A523C69"/>
    <w:multiLevelType w:val="multilevel"/>
    <w:tmpl w:val="9B70A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4A419A"/>
    <w:multiLevelType w:val="hybridMultilevel"/>
    <w:tmpl w:val="C040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B4B29"/>
    <w:multiLevelType w:val="hybridMultilevel"/>
    <w:tmpl w:val="4A74A99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8AE196A"/>
    <w:multiLevelType w:val="hybridMultilevel"/>
    <w:tmpl w:val="3CD4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C35C41"/>
    <w:multiLevelType w:val="hybridMultilevel"/>
    <w:tmpl w:val="A37688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F8D439E"/>
    <w:multiLevelType w:val="multilevel"/>
    <w:tmpl w:val="9EF0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F1F7C"/>
    <w:multiLevelType w:val="hybridMultilevel"/>
    <w:tmpl w:val="2D68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4B50E3"/>
    <w:multiLevelType w:val="hybridMultilevel"/>
    <w:tmpl w:val="1264F0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326CB7"/>
    <w:multiLevelType w:val="hybridMultilevel"/>
    <w:tmpl w:val="F482A4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2010BD"/>
    <w:multiLevelType w:val="hybridMultilevel"/>
    <w:tmpl w:val="C71E8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3451947">
    <w:abstractNumId w:val="6"/>
  </w:num>
  <w:num w:numId="2" w16cid:durableId="441923596">
    <w:abstractNumId w:val="15"/>
  </w:num>
  <w:num w:numId="3" w16cid:durableId="1955939473">
    <w:abstractNumId w:val="1"/>
  </w:num>
  <w:num w:numId="4" w16cid:durableId="1044714885">
    <w:abstractNumId w:val="17"/>
  </w:num>
  <w:num w:numId="5" w16cid:durableId="1017072902">
    <w:abstractNumId w:val="9"/>
  </w:num>
  <w:num w:numId="6" w16cid:durableId="1480534420">
    <w:abstractNumId w:val="2"/>
  </w:num>
  <w:num w:numId="7" w16cid:durableId="1119496356">
    <w:abstractNumId w:val="19"/>
  </w:num>
  <w:num w:numId="8" w16cid:durableId="1250845146">
    <w:abstractNumId w:val="16"/>
  </w:num>
  <w:num w:numId="9" w16cid:durableId="1984921444">
    <w:abstractNumId w:val="13"/>
  </w:num>
  <w:num w:numId="10" w16cid:durableId="926227858">
    <w:abstractNumId w:val="4"/>
  </w:num>
  <w:num w:numId="11" w16cid:durableId="1311789067">
    <w:abstractNumId w:val="18"/>
  </w:num>
  <w:num w:numId="12" w16cid:durableId="202452248">
    <w:abstractNumId w:val="8"/>
  </w:num>
  <w:num w:numId="13" w16cid:durableId="1567565319">
    <w:abstractNumId w:val="5"/>
    <w:lvlOverride w:ilvl="0">
      <w:lvl w:ilvl="0">
        <w:numFmt w:val="upperLetter"/>
        <w:lvlText w:val="%1."/>
        <w:lvlJc w:val="left"/>
      </w:lvl>
    </w:lvlOverride>
  </w:num>
  <w:num w:numId="14" w16cid:durableId="1763380178">
    <w:abstractNumId w:val="10"/>
    <w:lvlOverride w:ilvl="0">
      <w:lvl w:ilvl="0">
        <w:numFmt w:val="lowerLetter"/>
        <w:lvlText w:val="%1."/>
        <w:lvlJc w:val="left"/>
      </w:lvl>
    </w:lvlOverride>
  </w:num>
  <w:num w:numId="15" w16cid:durableId="995107527">
    <w:abstractNumId w:val="10"/>
    <w:lvlOverride w:ilvl="0">
      <w:lvl w:ilvl="0">
        <w:numFmt w:val="lowerLetter"/>
        <w:lvlText w:val="%1."/>
        <w:lvlJc w:val="left"/>
      </w:lvl>
    </w:lvlOverride>
  </w:num>
  <w:num w:numId="16" w16cid:durableId="291710597">
    <w:abstractNumId w:val="14"/>
  </w:num>
  <w:num w:numId="17" w16cid:durableId="2118090465">
    <w:abstractNumId w:val="7"/>
  </w:num>
  <w:num w:numId="18" w16cid:durableId="1124732881">
    <w:abstractNumId w:val="11"/>
  </w:num>
  <w:num w:numId="19" w16cid:durableId="1515806947">
    <w:abstractNumId w:val="3"/>
  </w:num>
  <w:num w:numId="20" w16cid:durableId="1399206321">
    <w:abstractNumId w:val="0"/>
  </w:num>
  <w:num w:numId="21" w16cid:durableId="596712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B31"/>
    <w:rsid w:val="00063911"/>
    <w:rsid w:val="000A0C70"/>
    <w:rsid w:val="000A1A88"/>
    <w:rsid w:val="000B4AC6"/>
    <w:rsid w:val="000C772A"/>
    <w:rsid w:val="00121C12"/>
    <w:rsid w:val="00290A2C"/>
    <w:rsid w:val="003075F2"/>
    <w:rsid w:val="00310C01"/>
    <w:rsid w:val="003176BD"/>
    <w:rsid w:val="0032455F"/>
    <w:rsid w:val="0033605F"/>
    <w:rsid w:val="003530BC"/>
    <w:rsid w:val="003A0A70"/>
    <w:rsid w:val="003B1122"/>
    <w:rsid w:val="00400D7C"/>
    <w:rsid w:val="00423FC4"/>
    <w:rsid w:val="0046797B"/>
    <w:rsid w:val="004E0862"/>
    <w:rsid w:val="004E5840"/>
    <w:rsid w:val="00551761"/>
    <w:rsid w:val="005B0782"/>
    <w:rsid w:val="00676BE4"/>
    <w:rsid w:val="006B1868"/>
    <w:rsid w:val="006D2949"/>
    <w:rsid w:val="006D2F4F"/>
    <w:rsid w:val="006F7D91"/>
    <w:rsid w:val="007355F3"/>
    <w:rsid w:val="007D3134"/>
    <w:rsid w:val="008241AA"/>
    <w:rsid w:val="00861183"/>
    <w:rsid w:val="0087539F"/>
    <w:rsid w:val="008D778C"/>
    <w:rsid w:val="00932A53"/>
    <w:rsid w:val="00936D72"/>
    <w:rsid w:val="00955BA8"/>
    <w:rsid w:val="009763AB"/>
    <w:rsid w:val="009C6FB4"/>
    <w:rsid w:val="00A027AC"/>
    <w:rsid w:val="00A27E01"/>
    <w:rsid w:val="00A556E9"/>
    <w:rsid w:val="00A75F08"/>
    <w:rsid w:val="00B00F74"/>
    <w:rsid w:val="00B26B31"/>
    <w:rsid w:val="00B42430"/>
    <w:rsid w:val="00B52E0C"/>
    <w:rsid w:val="00B668BF"/>
    <w:rsid w:val="00B8402C"/>
    <w:rsid w:val="00BC18C3"/>
    <w:rsid w:val="00C01E2F"/>
    <w:rsid w:val="00C51186"/>
    <w:rsid w:val="00C8618F"/>
    <w:rsid w:val="00D3598D"/>
    <w:rsid w:val="00D735CF"/>
    <w:rsid w:val="00E12619"/>
    <w:rsid w:val="00E449D5"/>
    <w:rsid w:val="00EA3AF0"/>
    <w:rsid w:val="00F20CDD"/>
    <w:rsid w:val="00F31AC8"/>
    <w:rsid w:val="00F439F7"/>
    <w:rsid w:val="00F47C93"/>
    <w:rsid w:val="00F94E78"/>
    <w:rsid w:val="00F95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34EE1"/>
  <w15:chartTrackingRefBased/>
  <w15:docId w15:val="{9EFE5BFD-0187-4B03-8A02-15736F49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B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75F2"/>
    <w:pPr>
      <w:ind w:left="720"/>
      <w:contextualSpacing/>
    </w:pPr>
  </w:style>
  <w:style w:type="character" w:styleId="Hipervnculo">
    <w:name w:val="Hyperlink"/>
    <w:basedOn w:val="Fuentedeprrafopredeter"/>
    <w:uiPriority w:val="99"/>
    <w:unhideWhenUsed/>
    <w:rsid w:val="00936D72"/>
    <w:rPr>
      <w:color w:val="0563C1" w:themeColor="hyperlink"/>
      <w:u w:val="single"/>
    </w:rPr>
  </w:style>
  <w:style w:type="character" w:styleId="Hipervnculovisitado">
    <w:name w:val="FollowedHyperlink"/>
    <w:basedOn w:val="Fuentedeprrafopredeter"/>
    <w:uiPriority w:val="99"/>
    <w:semiHidden/>
    <w:unhideWhenUsed/>
    <w:rsid w:val="00936D72"/>
    <w:rPr>
      <w:color w:val="954F72" w:themeColor="followedHyperlink"/>
      <w:u w:val="single"/>
    </w:rPr>
  </w:style>
  <w:style w:type="character" w:styleId="Mencinsinresolver">
    <w:name w:val="Unresolved Mention"/>
    <w:basedOn w:val="Fuentedeprrafopredeter"/>
    <w:uiPriority w:val="99"/>
    <w:semiHidden/>
    <w:unhideWhenUsed/>
    <w:rsid w:val="00B8402C"/>
    <w:rPr>
      <w:color w:val="605E5C"/>
      <w:shd w:val="clear" w:color="auto" w:fill="E1DFDD"/>
    </w:rPr>
  </w:style>
  <w:style w:type="paragraph" w:styleId="NormalWeb">
    <w:name w:val="Normal (Web)"/>
    <w:basedOn w:val="Normal"/>
    <w:uiPriority w:val="99"/>
    <w:unhideWhenUsed/>
    <w:rsid w:val="00310C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81294">
      <w:bodyDiv w:val="1"/>
      <w:marLeft w:val="0"/>
      <w:marRight w:val="0"/>
      <w:marTop w:val="0"/>
      <w:marBottom w:val="0"/>
      <w:divBdr>
        <w:top w:val="none" w:sz="0" w:space="0" w:color="auto"/>
        <w:left w:val="none" w:sz="0" w:space="0" w:color="auto"/>
        <w:bottom w:val="none" w:sz="0" w:space="0" w:color="auto"/>
        <w:right w:val="none" w:sz="0" w:space="0" w:color="auto"/>
      </w:divBdr>
      <w:divsChild>
        <w:div w:id="711735824">
          <w:marLeft w:val="0"/>
          <w:marRight w:val="0"/>
          <w:marTop w:val="0"/>
          <w:marBottom w:val="0"/>
          <w:divBdr>
            <w:top w:val="none" w:sz="0" w:space="0" w:color="auto"/>
            <w:left w:val="none" w:sz="0" w:space="0" w:color="auto"/>
            <w:bottom w:val="none" w:sz="0" w:space="0" w:color="auto"/>
            <w:right w:val="none" w:sz="0" w:space="0" w:color="auto"/>
          </w:divBdr>
          <w:divsChild>
            <w:div w:id="1814103992">
              <w:marLeft w:val="0"/>
              <w:marRight w:val="0"/>
              <w:marTop w:val="0"/>
              <w:marBottom w:val="0"/>
              <w:divBdr>
                <w:top w:val="none" w:sz="0" w:space="0" w:color="auto"/>
                <w:left w:val="none" w:sz="0" w:space="0" w:color="auto"/>
                <w:bottom w:val="none" w:sz="0" w:space="0" w:color="auto"/>
                <w:right w:val="none" w:sz="0" w:space="0" w:color="auto"/>
              </w:divBdr>
              <w:divsChild>
                <w:div w:id="15520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137955">
      <w:bodyDiv w:val="1"/>
      <w:marLeft w:val="0"/>
      <w:marRight w:val="0"/>
      <w:marTop w:val="0"/>
      <w:marBottom w:val="0"/>
      <w:divBdr>
        <w:top w:val="none" w:sz="0" w:space="0" w:color="auto"/>
        <w:left w:val="none" w:sz="0" w:space="0" w:color="auto"/>
        <w:bottom w:val="none" w:sz="0" w:space="0" w:color="auto"/>
        <w:right w:val="none" w:sz="0" w:space="0" w:color="auto"/>
      </w:divBdr>
    </w:div>
    <w:div w:id="715933896">
      <w:bodyDiv w:val="1"/>
      <w:marLeft w:val="0"/>
      <w:marRight w:val="0"/>
      <w:marTop w:val="0"/>
      <w:marBottom w:val="0"/>
      <w:divBdr>
        <w:top w:val="none" w:sz="0" w:space="0" w:color="auto"/>
        <w:left w:val="none" w:sz="0" w:space="0" w:color="auto"/>
        <w:bottom w:val="none" w:sz="0" w:space="0" w:color="auto"/>
        <w:right w:val="none" w:sz="0" w:space="0" w:color="auto"/>
      </w:divBdr>
    </w:div>
    <w:div w:id="955719344">
      <w:bodyDiv w:val="1"/>
      <w:marLeft w:val="0"/>
      <w:marRight w:val="0"/>
      <w:marTop w:val="0"/>
      <w:marBottom w:val="0"/>
      <w:divBdr>
        <w:top w:val="none" w:sz="0" w:space="0" w:color="auto"/>
        <w:left w:val="none" w:sz="0" w:space="0" w:color="auto"/>
        <w:bottom w:val="none" w:sz="0" w:space="0" w:color="auto"/>
        <w:right w:val="none" w:sz="0" w:space="0" w:color="auto"/>
      </w:divBdr>
    </w:div>
    <w:div w:id="1010910140">
      <w:bodyDiv w:val="1"/>
      <w:marLeft w:val="0"/>
      <w:marRight w:val="0"/>
      <w:marTop w:val="0"/>
      <w:marBottom w:val="0"/>
      <w:divBdr>
        <w:top w:val="none" w:sz="0" w:space="0" w:color="auto"/>
        <w:left w:val="none" w:sz="0" w:space="0" w:color="auto"/>
        <w:bottom w:val="none" w:sz="0" w:space="0" w:color="auto"/>
        <w:right w:val="none" w:sz="0" w:space="0" w:color="auto"/>
      </w:divBdr>
    </w:div>
    <w:div w:id="1763061210">
      <w:bodyDiv w:val="1"/>
      <w:marLeft w:val="0"/>
      <w:marRight w:val="0"/>
      <w:marTop w:val="0"/>
      <w:marBottom w:val="0"/>
      <w:divBdr>
        <w:top w:val="none" w:sz="0" w:space="0" w:color="auto"/>
        <w:left w:val="none" w:sz="0" w:space="0" w:color="auto"/>
        <w:bottom w:val="none" w:sz="0" w:space="0" w:color="auto"/>
        <w:right w:val="none" w:sz="0" w:space="0" w:color="auto"/>
      </w:divBdr>
      <w:divsChild>
        <w:div w:id="1572347248">
          <w:marLeft w:val="0"/>
          <w:marRight w:val="0"/>
          <w:marTop w:val="0"/>
          <w:marBottom w:val="0"/>
          <w:divBdr>
            <w:top w:val="none" w:sz="0" w:space="0" w:color="auto"/>
            <w:left w:val="none" w:sz="0" w:space="0" w:color="auto"/>
            <w:bottom w:val="none" w:sz="0" w:space="0" w:color="auto"/>
            <w:right w:val="none" w:sz="0" w:space="0" w:color="auto"/>
          </w:divBdr>
          <w:divsChild>
            <w:div w:id="263346258">
              <w:marLeft w:val="0"/>
              <w:marRight w:val="0"/>
              <w:marTop w:val="0"/>
              <w:marBottom w:val="0"/>
              <w:divBdr>
                <w:top w:val="none" w:sz="0" w:space="0" w:color="auto"/>
                <w:left w:val="none" w:sz="0" w:space="0" w:color="auto"/>
                <w:bottom w:val="none" w:sz="0" w:space="0" w:color="auto"/>
                <w:right w:val="none" w:sz="0" w:space="0" w:color="auto"/>
              </w:divBdr>
              <w:divsChild>
                <w:div w:id="5275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ai.int/es/news/detail/STeP-Leadership-Conference-2024:-Consensus-and-Inclusion-for-Informed-Decision-Mak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8503F-8550-4F84-824C-871DEF0D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1805</Words>
  <Characters>10289</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Ohira, IAI Ohira</dc:creator>
  <cp:keywords/>
  <dc:description/>
  <cp:lastModifiedBy>Patricia Puertas</cp:lastModifiedBy>
  <cp:revision>6</cp:revision>
  <dcterms:created xsi:type="dcterms:W3CDTF">2024-05-13T14:30:00Z</dcterms:created>
  <dcterms:modified xsi:type="dcterms:W3CDTF">2024-05-15T15:21:00Z</dcterms:modified>
</cp:coreProperties>
</file>