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CD103" w14:textId="77777777" w:rsidR="00AE772A" w:rsidRDefault="00AE772A" w:rsidP="009A1B1B">
      <w:pPr>
        <w:pStyle w:val="Ttulo"/>
      </w:pPr>
    </w:p>
    <w:p w14:paraId="32E14133" w14:textId="77430E26" w:rsidR="00631DCC" w:rsidRPr="00633A6B" w:rsidRDefault="00633A6B" w:rsidP="00631DCC">
      <w:pPr>
        <w:pStyle w:val="Ttulo"/>
        <w:rPr>
          <w:u w:val="single"/>
          <w:lang w:val="es-ES"/>
        </w:rPr>
      </w:pPr>
      <w:bookmarkStart w:id="0" w:name="_Hlk105484834"/>
      <w:r>
        <w:rPr>
          <w:lang w:val="es-ES"/>
        </w:rPr>
        <w:t>Convocatoria “Repuesta en clima y ambiente para la salud</w:t>
      </w:r>
      <w:r w:rsidR="00631DCC" w:rsidRPr="00E52962">
        <w:rPr>
          <w:lang w:val="es-ES"/>
        </w:rPr>
        <w:t xml:space="preserve"> en las Américas</w:t>
      </w:r>
      <w:r>
        <w:rPr>
          <w:lang w:val="es-ES"/>
        </w:rPr>
        <w:t>”</w:t>
      </w:r>
    </w:p>
    <w:p w14:paraId="4ADA8CD2" w14:textId="77777777" w:rsidR="00633A6B" w:rsidRPr="00ED709E" w:rsidRDefault="00633A6B" w:rsidP="00633A6B">
      <w:pPr>
        <w:jc w:val="center"/>
        <w:rPr>
          <w:rFonts w:ascii="Arial" w:hAnsi="Arial" w:cs="Arial"/>
          <w:sz w:val="22"/>
          <w:szCs w:val="22"/>
          <w:lang w:val="es-ES"/>
        </w:rPr>
      </w:pPr>
      <w:r>
        <w:rPr>
          <w:rFonts w:ascii="Arial" w:hAnsi="Arial" w:cs="Arial"/>
          <w:sz w:val="22"/>
          <w:szCs w:val="22"/>
          <w:lang w:val="es-ES"/>
        </w:rPr>
        <w:t>D</w:t>
      </w:r>
      <w:r w:rsidRPr="00403D24">
        <w:rPr>
          <w:rFonts w:ascii="Arial" w:hAnsi="Arial" w:cs="Arial"/>
          <w:sz w:val="22"/>
          <w:szCs w:val="22"/>
          <w:lang w:val="es-ES"/>
        </w:rPr>
        <w:t>e</w:t>
      </w:r>
      <w:r>
        <w:rPr>
          <w:rFonts w:ascii="Arial" w:hAnsi="Arial" w:cs="Arial"/>
          <w:sz w:val="22"/>
          <w:szCs w:val="22"/>
          <w:lang w:val="es-ES"/>
        </w:rPr>
        <w:t>l conocimi</w:t>
      </w:r>
      <w:r w:rsidRPr="00403D24">
        <w:rPr>
          <w:rFonts w:ascii="Arial" w:hAnsi="Arial" w:cs="Arial"/>
          <w:sz w:val="22"/>
          <w:szCs w:val="22"/>
          <w:lang w:val="es-ES"/>
        </w:rPr>
        <w:t>e</w:t>
      </w:r>
      <w:r>
        <w:rPr>
          <w:rFonts w:ascii="Arial" w:hAnsi="Arial" w:cs="Arial"/>
          <w:sz w:val="22"/>
          <w:szCs w:val="22"/>
          <w:lang w:val="es-ES"/>
        </w:rPr>
        <w:t xml:space="preserve">nto y </w:t>
      </w:r>
      <w:r w:rsidRPr="00ED709E">
        <w:rPr>
          <w:rFonts w:ascii="Arial" w:hAnsi="Arial" w:cs="Arial"/>
          <w:sz w:val="22"/>
          <w:szCs w:val="22"/>
          <w:lang w:val="es-ES"/>
        </w:rPr>
        <w:t xml:space="preserve">la formación </w:t>
      </w:r>
      <w:proofErr w:type="spellStart"/>
      <w:r w:rsidRPr="00ED709E">
        <w:rPr>
          <w:rFonts w:ascii="Arial" w:hAnsi="Arial" w:cs="Arial"/>
          <w:sz w:val="22"/>
          <w:szCs w:val="22"/>
          <w:lang w:val="es-ES"/>
        </w:rPr>
        <w:t>transdisciplinari</w:t>
      </w:r>
      <w:r>
        <w:rPr>
          <w:rFonts w:ascii="Arial" w:hAnsi="Arial" w:cs="Arial"/>
          <w:sz w:val="22"/>
          <w:szCs w:val="22"/>
          <w:lang w:val="es-ES"/>
        </w:rPr>
        <w:t>os</w:t>
      </w:r>
      <w:proofErr w:type="spellEnd"/>
      <w:r w:rsidRPr="00ED709E">
        <w:rPr>
          <w:rFonts w:ascii="Arial" w:hAnsi="Arial" w:cs="Arial"/>
          <w:sz w:val="22"/>
          <w:szCs w:val="22"/>
          <w:lang w:val="es-ES"/>
        </w:rPr>
        <w:t xml:space="preserve"> </w:t>
      </w:r>
      <w:r>
        <w:rPr>
          <w:rFonts w:ascii="Arial" w:hAnsi="Arial" w:cs="Arial"/>
          <w:sz w:val="22"/>
          <w:szCs w:val="22"/>
          <w:lang w:val="es-ES"/>
        </w:rPr>
        <w:t>a</w:t>
      </w:r>
      <w:r w:rsidRPr="00ED709E">
        <w:rPr>
          <w:rFonts w:ascii="Arial" w:hAnsi="Arial" w:cs="Arial"/>
          <w:sz w:val="22"/>
          <w:szCs w:val="22"/>
          <w:lang w:val="es-ES"/>
        </w:rPr>
        <w:t xml:space="preserve"> </w:t>
      </w:r>
      <w:r>
        <w:rPr>
          <w:rFonts w:ascii="Arial" w:hAnsi="Arial" w:cs="Arial"/>
          <w:sz w:val="22"/>
          <w:szCs w:val="22"/>
          <w:lang w:val="es-ES"/>
        </w:rPr>
        <w:t>las políticas públicas</w:t>
      </w:r>
    </w:p>
    <w:p w14:paraId="38313851" w14:textId="77777777" w:rsidR="00631DCC" w:rsidRPr="00E52962" w:rsidRDefault="00631DCC" w:rsidP="00631DCC">
      <w:pPr>
        <w:jc w:val="center"/>
        <w:rPr>
          <w:rFonts w:ascii="Arial" w:hAnsi="Arial" w:cs="Arial"/>
          <w:sz w:val="21"/>
          <w:szCs w:val="21"/>
          <w:lang w:val="es-ES"/>
        </w:rPr>
      </w:pPr>
      <w:r w:rsidRPr="00E52962">
        <w:rPr>
          <w:rFonts w:ascii="Arial" w:hAnsi="Arial" w:cs="Arial"/>
          <w:sz w:val="21"/>
          <w:szCs w:val="21"/>
          <w:lang w:val="es-ES"/>
        </w:rPr>
        <w:t>3 de junio de 2022</w:t>
      </w:r>
    </w:p>
    <w:p w14:paraId="534A4DFF" w14:textId="77777777" w:rsidR="00631DCC" w:rsidRPr="00E52962" w:rsidRDefault="00631DCC" w:rsidP="00631DCC">
      <w:pPr>
        <w:jc w:val="center"/>
        <w:rPr>
          <w:rFonts w:ascii="Arial" w:hAnsi="Arial" w:cs="Arial"/>
          <w:sz w:val="22"/>
          <w:szCs w:val="22"/>
          <w:lang w:val="es-ES"/>
        </w:rPr>
      </w:pPr>
    </w:p>
    <w:p w14:paraId="649F0FEB" w14:textId="77777777" w:rsidR="00631DCC" w:rsidRPr="00E52962" w:rsidRDefault="00631DCC" w:rsidP="00631DCC">
      <w:pPr>
        <w:pStyle w:val="Ttulo1"/>
        <w:rPr>
          <w:lang w:val="es-ES"/>
        </w:rPr>
      </w:pPr>
    </w:p>
    <w:p w14:paraId="453293DF" w14:textId="77777777" w:rsidR="00631DCC" w:rsidRPr="00E52962" w:rsidRDefault="00631DCC" w:rsidP="00631DCC">
      <w:pPr>
        <w:pStyle w:val="Ttulo1"/>
        <w:rPr>
          <w:lang w:val="es-ES"/>
        </w:rPr>
      </w:pPr>
      <w:r w:rsidRPr="00E52962">
        <w:rPr>
          <w:lang w:val="es-ES"/>
        </w:rPr>
        <w:t>Introducción</w:t>
      </w:r>
    </w:p>
    <w:p w14:paraId="0265A65E" w14:textId="77777777" w:rsidR="006046AC" w:rsidRPr="00AD6030" w:rsidRDefault="006046AC" w:rsidP="006046AC">
      <w:pPr>
        <w:jc w:val="both"/>
        <w:rPr>
          <w:lang w:val="es-ES"/>
        </w:rPr>
      </w:pPr>
      <w:r w:rsidRPr="00AD6030">
        <w:rPr>
          <w:rFonts w:ascii="Arial" w:hAnsi="Arial" w:cs="Arial"/>
          <w:color w:val="000000" w:themeColor="text1"/>
          <w:sz w:val="22"/>
          <w:szCs w:val="22"/>
          <w:lang w:val="es-ES"/>
        </w:rPr>
        <w:t>L</w:t>
      </w:r>
      <w:r>
        <w:rPr>
          <w:rFonts w:ascii="Arial" w:hAnsi="Arial" w:cs="Arial"/>
          <w:color w:val="000000" w:themeColor="text1"/>
          <w:sz w:val="22"/>
          <w:szCs w:val="22"/>
          <w:lang w:val="es-ES"/>
        </w:rPr>
        <w:t xml:space="preserve">os países </w:t>
      </w:r>
      <w:r w:rsidRPr="00AD6030">
        <w:rPr>
          <w:rFonts w:ascii="Arial" w:hAnsi="Arial" w:cs="Arial"/>
          <w:color w:val="000000" w:themeColor="text1"/>
          <w:sz w:val="22"/>
          <w:szCs w:val="22"/>
          <w:lang w:val="es-ES"/>
        </w:rPr>
        <w:t xml:space="preserve">de las Américas necesitan fortalecer la capacidad de los actores del sector público para abordar y adaptarse a los determinantes ambientales de la salud (DAS), dando prioridad a las poblaciones que viven en condiciones de vulnerabilidad. Un enfoque integrado e informado por la evidencia dentro del sector de la salud y en asociación con otros sectores clave como el clima, el medio ambiente y la gestión </w:t>
      </w:r>
      <w:r>
        <w:rPr>
          <w:rFonts w:ascii="Arial" w:hAnsi="Arial" w:cs="Arial"/>
          <w:color w:val="000000" w:themeColor="text1"/>
          <w:sz w:val="22"/>
          <w:szCs w:val="22"/>
          <w:lang w:val="es-ES"/>
        </w:rPr>
        <w:t>de riesgos</w:t>
      </w:r>
      <w:r w:rsidRPr="00AD6030">
        <w:rPr>
          <w:rFonts w:ascii="Arial" w:hAnsi="Arial" w:cs="Arial"/>
          <w:color w:val="000000" w:themeColor="text1"/>
          <w:sz w:val="22"/>
          <w:szCs w:val="22"/>
          <w:lang w:val="es-ES"/>
        </w:rPr>
        <w:t xml:space="preserve"> de desastres, es esencial para abordar y adaptarse a los desafíos de los </w:t>
      </w:r>
      <w:r>
        <w:rPr>
          <w:rFonts w:ascii="Arial" w:hAnsi="Arial" w:cs="Arial"/>
          <w:color w:val="000000" w:themeColor="text1"/>
          <w:sz w:val="22"/>
          <w:szCs w:val="22"/>
          <w:lang w:val="es-ES"/>
        </w:rPr>
        <w:t>DAS</w:t>
      </w:r>
      <w:r w:rsidRPr="00AD6030">
        <w:rPr>
          <w:rFonts w:ascii="Arial" w:hAnsi="Arial" w:cs="Arial"/>
          <w:color w:val="000000" w:themeColor="text1"/>
          <w:sz w:val="22"/>
          <w:szCs w:val="22"/>
          <w:lang w:val="es-ES"/>
        </w:rPr>
        <w:t xml:space="preserve"> en la Región. La aplicación de soluciones debe ser específica para cada contexto, basada en las necesidades y realidades de los países, y debe fomentar la coordinación, el liderazgo y la comunicación.</w:t>
      </w:r>
    </w:p>
    <w:p w14:paraId="10AC1920" w14:textId="77777777" w:rsidR="006046AC" w:rsidRPr="00AD6030" w:rsidRDefault="006046AC" w:rsidP="006046AC">
      <w:pPr>
        <w:jc w:val="both"/>
        <w:rPr>
          <w:rFonts w:ascii="Arial" w:hAnsi="Arial" w:cs="Arial"/>
          <w:sz w:val="20"/>
          <w:szCs w:val="20"/>
          <w:lang w:val="es-ES"/>
        </w:rPr>
      </w:pPr>
    </w:p>
    <w:p w14:paraId="354CA437" w14:textId="77777777" w:rsidR="006046AC" w:rsidRPr="00AD6030" w:rsidRDefault="006046AC" w:rsidP="006046AC">
      <w:pPr>
        <w:jc w:val="both"/>
        <w:rPr>
          <w:rFonts w:ascii="Arial" w:eastAsia="Arial" w:hAnsi="Arial" w:cs="Arial"/>
          <w:sz w:val="22"/>
          <w:szCs w:val="22"/>
          <w:lang w:val="es-ES"/>
        </w:rPr>
      </w:pPr>
      <w:r w:rsidRPr="00AD6030">
        <w:rPr>
          <w:rFonts w:ascii="Arial" w:hAnsi="Arial" w:cs="Arial"/>
          <w:sz w:val="22"/>
          <w:szCs w:val="22"/>
          <w:lang w:val="es-ES"/>
        </w:rPr>
        <w:t xml:space="preserve">Un enfoque </w:t>
      </w:r>
      <w:proofErr w:type="spellStart"/>
      <w:r w:rsidRPr="00AD6030">
        <w:rPr>
          <w:rFonts w:ascii="Arial" w:hAnsi="Arial" w:cs="Arial"/>
          <w:sz w:val="22"/>
          <w:szCs w:val="22"/>
          <w:lang w:val="es-ES"/>
        </w:rPr>
        <w:t>transdisciplinario</w:t>
      </w:r>
      <w:proofErr w:type="spellEnd"/>
      <w:r w:rsidRPr="00AD6030">
        <w:rPr>
          <w:rFonts w:ascii="Arial" w:hAnsi="Arial" w:cs="Arial"/>
          <w:sz w:val="22"/>
          <w:szCs w:val="22"/>
          <w:lang w:val="es-ES"/>
        </w:rPr>
        <w:t xml:space="preserve"> (DT) espera que las partes interesadas, incluidos los responsables de la toma de decisiones y de las políticas, los ejecutores, las comunidades afectadas por las políticas y los profesionales, trabajen junto con los investigadores en procesos de codesarrollo colaborativos e iterativos en la interfaz de la ciencia y la política. Los </w:t>
      </w:r>
      <w:r w:rsidRPr="00AD6030">
        <w:rPr>
          <w:rFonts w:ascii="Arial" w:hAnsi="Arial" w:cs="Arial"/>
          <w:color w:val="000000" w:themeColor="text1"/>
          <w:sz w:val="22"/>
          <w:szCs w:val="22"/>
          <w:lang w:val="es-ES"/>
        </w:rPr>
        <w:t xml:space="preserve">proyectos de investigación del DT se basan en problemas y están orientados a las soluciones, integrando conocimientos, herramientas y formas de pensar de múltiples disciplinas y actores de los sectores público y privado. Se </w:t>
      </w:r>
      <w:r w:rsidRPr="00AD6030">
        <w:rPr>
          <w:rFonts w:ascii="Arial" w:eastAsia="Arial" w:hAnsi="Arial" w:cs="Arial"/>
          <w:sz w:val="22"/>
          <w:szCs w:val="22"/>
          <w:lang w:val="es-ES"/>
        </w:rPr>
        <w:t xml:space="preserve">incluye a las partes interesadas desde la fase inicial de elaboración del proyecto y a lo largo de todo su ciclo de vida en un proceso de </w:t>
      </w:r>
      <w:proofErr w:type="spellStart"/>
      <w:r w:rsidRPr="00AD6030">
        <w:rPr>
          <w:rFonts w:ascii="Arial" w:eastAsia="Arial" w:hAnsi="Arial" w:cs="Arial"/>
          <w:sz w:val="22"/>
          <w:szCs w:val="22"/>
          <w:lang w:val="es-ES"/>
        </w:rPr>
        <w:t>co</w:t>
      </w:r>
      <w:proofErr w:type="spellEnd"/>
      <w:r>
        <w:rPr>
          <w:rFonts w:ascii="Arial" w:eastAsia="Arial" w:hAnsi="Arial" w:cs="Arial"/>
          <w:sz w:val="22"/>
          <w:szCs w:val="22"/>
          <w:lang w:val="es-ES"/>
        </w:rPr>
        <w:t>-</w:t>
      </w:r>
      <w:r w:rsidRPr="00AD6030">
        <w:rPr>
          <w:rFonts w:ascii="Arial" w:eastAsia="Arial" w:hAnsi="Arial" w:cs="Arial"/>
          <w:sz w:val="22"/>
          <w:szCs w:val="22"/>
          <w:lang w:val="es-ES"/>
        </w:rPr>
        <w:t xml:space="preserve">creación equitativo y ético. </w:t>
      </w:r>
    </w:p>
    <w:p w14:paraId="58449650" w14:textId="77777777" w:rsidR="006046AC" w:rsidRPr="00AD6030" w:rsidRDefault="006046AC" w:rsidP="006046AC">
      <w:pPr>
        <w:jc w:val="both"/>
        <w:rPr>
          <w:rFonts w:ascii="Arial" w:eastAsia="Arial" w:hAnsi="Arial" w:cs="Arial"/>
          <w:sz w:val="20"/>
          <w:szCs w:val="20"/>
          <w:lang w:val="es-ES"/>
        </w:rPr>
      </w:pPr>
    </w:p>
    <w:p w14:paraId="5A476E13" w14:textId="77777777" w:rsidR="006046AC" w:rsidRPr="00AD6030" w:rsidRDefault="006046AC" w:rsidP="006046AC">
      <w:pPr>
        <w:rPr>
          <w:rFonts w:ascii="Arial" w:hAnsi="Arial" w:cs="Arial"/>
          <w:color w:val="000000" w:themeColor="text1"/>
          <w:sz w:val="22"/>
          <w:szCs w:val="22"/>
          <w:lang w:val="es-ES"/>
        </w:rPr>
      </w:pPr>
      <w:r w:rsidRPr="00AD6030">
        <w:rPr>
          <w:rFonts w:ascii="Arial" w:hAnsi="Arial" w:cs="Arial"/>
          <w:color w:val="000000" w:themeColor="text1"/>
          <w:sz w:val="22"/>
          <w:szCs w:val="22"/>
          <w:lang w:val="es-ES"/>
        </w:rPr>
        <w:t xml:space="preserve">Los proyectos científico-políticos en el nexo entre el clima, el medio ambiente y la salud (CEH) pueden tener un amplio marco social y beneficios sociales mensurables; su enfoque puede abarcar desde la vulnerabilidad y la resiliencia para reducir los riesgos de los peligros naturales y antropogénicos, hasta la contaminación, la seguridad y la calidad de los alimentos y el agua, las enfermedades crónicas y emergentes relacionadas con el cambio global, y las acciones de adaptación y mitigación en diferentes sectores socioeconómicos y ambientales para mejorar el bienestar </w:t>
      </w:r>
      <w:r w:rsidRPr="00122D49">
        <w:rPr>
          <w:rFonts w:ascii="Arial" w:hAnsi="Arial" w:cs="Arial"/>
          <w:sz w:val="22"/>
          <w:szCs w:val="22"/>
          <w:lang w:val="es-ES"/>
        </w:rPr>
        <w:t>(</w:t>
      </w:r>
      <w:hyperlink r:id="rId8" w:history="1">
        <w:r w:rsidRPr="00122D49">
          <w:rPr>
            <w:rStyle w:val="Hipervnculo"/>
            <w:rFonts w:ascii="Arial" w:hAnsi="Arial" w:cs="Arial"/>
            <w:sz w:val="22"/>
            <w:szCs w:val="22"/>
            <w:lang w:val="es-ES"/>
          </w:rPr>
          <w:t>https://www.</w:t>
        </w:r>
        <w:bookmarkStart w:id="1" w:name="_GoBack"/>
        <w:r w:rsidRPr="00122D49">
          <w:rPr>
            <w:rStyle w:val="Hipervnculo"/>
            <w:rFonts w:ascii="Arial" w:hAnsi="Arial" w:cs="Arial"/>
            <w:sz w:val="22"/>
            <w:szCs w:val="22"/>
            <w:lang w:val="es-ES"/>
          </w:rPr>
          <w:t>iai.int</w:t>
        </w:r>
        <w:bookmarkEnd w:id="1"/>
        <w:r w:rsidRPr="00122D49">
          <w:rPr>
            <w:rStyle w:val="Hipervnculo"/>
            <w:rFonts w:ascii="Arial" w:hAnsi="Arial" w:cs="Arial"/>
            <w:sz w:val="22"/>
            <w:szCs w:val="22"/>
            <w:lang w:val="es-ES"/>
          </w:rPr>
          <w:t>/pdf/es/Strategicplan-sp.pdf</w:t>
        </w:r>
      </w:hyperlink>
      <w:r>
        <w:rPr>
          <w:rFonts w:ascii="Arial" w:hAnsi="Arial" w:cs="Arial"/>
          <w:color w:val="000000" w:themeColor="text1"/>
          <w:sz w:val="22"/>
          <w:szCs w:val="22"/>
          <w:lang w:val="es-ES"/>
        </w:rPr>
        <w:t>).</w:t>
      </w:r>
    </w:p>
    <w:p w14:paraId="2D2CB1CD" w14:textId="77777777" w:rsidR="00631DCC" w:rsidRPr="00E52962" w:rsidRDefault="00631DCC" w:rsidP="00631DCC">
      <w:pPr>
        <w:rPr>
          <w:lang w:val="es-ES"/>
        </w:rPr>
      </w:pPr>
    </w:p>
    <w:p w14:paraId="26ADDCC4" w14:textId="77777777" w:rsidR="00631DCC" w:rsidRPr="00E52962" w:rsidRDefault="00631DCC" w:rsidP="00631DCC">
      <w:pPr>
        <w:pStyle w:val="Ttulo1"/>
        <w:rPr>
          <w:lang w:val="es-ES"/>
        </w:rPr>
      </w:pPr>
      <w:r w:rsidRPr="00E52962">
        <w:rPr>
          <w:lang w:val="es-ES"/>
        </w:rPr>
        <w:t>Objetivo principal</w:t>
      </w:r>
    </w:p>
    <w:p w14:paraId="76FB1621" w14:textId="70EF8253" w:rsidR="00631DCC" w:rsidRPr="006046AC" w:rsidRDefault="00631DCC" w:rsidP="00631DCC">
      <w:pPr>
        <w:jc w:val="both"/>
        <w:rPr>
          <w:lang w:val="es-ES"/>
        </w:rPr>
      </w:pPr>
      <w:r w:rsidRPr="00E52962">
        <w:rPr>
          <w:rFonts w:ascii="Arial" w:hAnsi="Arial" w:cs="Arial"/>
          <w:sz w:val="22"/>
          <w:szCs w:val="22"/>
          <w:lang w:val="es-ES"/>
        </w:rPr>
        <w:t xml:space="preserve">Esta iniciativa de formación tiene como </w:t>
      </w:r>
      <w:r w:rsidRPr="00E52962">
        <w:rPr>
          <w:rFonts w:ascii="Arial" w:hAnsi="Arial" w:cs="Arial"/>
          <w:color w:val="000000" w:themeColor="text1"/>
          <w:sz w:val="22"/>
          <w:szCs w:val="22"/>
          <w:lang w:val="es-ES"/>
        </w:rPr>
        <w:t xml:space="preserve">objetivo mejorar la capacidad de los profesionales e instituciones de las Américas para abordar los desafíos en la intersección del clima, el medio ambiente y la salud a través de un enfoque </w:t>
      </w:r>
      <w:proofErr w:type="spellStart"/>
      <w:r w:rsidRPr="00E52962">
        <w:rPr>
          <w:rFonts w:ascii="Arial" w:hAnsi="Arial" w:cs="Arial"/>
          <w:color w:val="000000" w:themeColor="text1"/>
          <w:sz w:val="22"/>
          <w:szCs w:val="22"/>
          <w:lang w:val="es-ES"/>
        </w:rPr>
        <w:t>transdisciplinario</w:t>
      </w:r>
      <w:proofErr w:type="spellEnd"/>
      <w:r w:rsidRPr="00E52962">
        <w:rPr>
          <w:rFonts w:ascii="Arial" w:hAnsi="Arial" w:cs="Arial"/>
          <w:color w:val="000000" w:themeColor="text1"/>
          <w:sz w:val="22"/>
          <w:szCs w:val="22"/>
          <w:lang w:val="es-ES"/>
        </w:rPr>
        <w:t>. Los participantes desarrollarán habilidades de comunicación y compromiso con diversas partes interesadas, con un enfoque en la interfaz ciencia-política y la participaci</w:t>
      </w:r>
      <w:r w:rsidR="006046AC">
        <w:rPr>
          <w:rFonts w:ascii="Arial" w:hAnsi="Arial" w:cs="Arial"/>
          <w:color w:val="000000" w:themeColor="text1"/>
          <w:sz w:val="22"/>
          <w:szCs w:val="22"/>
          <w:lang w:val="es-ES"/>
        </w:rPr>
        <w:t xml:space="preserve">ón genuina de las comunidades. </w:t>
      </w:r>
      <w:r w:rsidRPr="006046AC">
        <w:rPr>
          <w:rFonts w:ascii="Arial" w:hAnsi="Arial" w:cs="Arial"/>
          <w:color w:val="000000" w:themeColor="text1"/>
          <w:sz w:val="22"/>
          <w:szCs w:val="22"/>
          <w:lang w:val="es-ES"/>
        </w:rPr>
        <w:t xml:space="preserve">El objetivo general es contribuir al desarrollo y la aplicación de políticas públicas más eficaces que aborden las prioridades de salud pública más importantes a nivel </w:t>
      </w:r>
      <w:r w:rsidR="006046AC" w:rsidRPr="006046AC">
        <w:rPr>
          <w:rFonts w:ascii="Arial" w:hAnsi="Arial" w:cs="Arial"/>
          <w:color w:val="000000" w:themeColor="text1"/>
          <w:sz w:val="22"/>
          <w:szCs w:val="22"/>
          <w:lang w:val="es-ES"/>
        </w:rPr>
        <w:t xml:space="preserve">local, </w:t>
      </w:r>
      <w:r w:rsidRPr="006046AC">
        <w:rPr>
          <w:rFonts w:ascii="Arial" w:hAnsi="Arial" w:cs="Arial"/>
          <w:color w:val="000000" w:themeColor="text1"/>
          <w:sz w:val="22"/>
          <w:szCs w:val="22"/>
          <w:lang w:val="es-ES"/>
        </w:rPr>
        <w:t>nacional, regional y mundial.</w:t>
      </w:r>
    </w:p>
    <w:p w14:paraId="198CE268" w14:textId="77777777" w:rsidR="00631DCC" w:rsidRPr="006046AC" w:rsidRDefault="00631DCC" w:rsidP="00631DCC">
      <w:pPr>
        <w:rPr>
          <w:rFonts w:ascii="Arial" w:hAnsi="Arial" w:cs="Arial"/>
          <w:b/>
          <w:bCs/>
          <w:sz w:val="22"/>
          <w:szCs w:val="22"/>
          <w:u w:val="single"/>
          <w:lang w:val="es-ES"/>
        </w:rPr>
      </w:pPr>
    </w:p>
    <w:p w14:paraId="4CD67158" w14:textId="77777777" w:rsidR="00631DCC" w:rsidRPr="00E52962" w:rsidRDefault="00631DCC" w:rsidP="00631DCC">
      <w:pPr>
        <w:pStyle w:val="Ttulo1"/>
        <w:rPr>
          <w:lang w:val="es-ES"/>
        </w:rPr>
      </w:pPr>
      <w:r w:rsidRPr="00E52962">
        <w:rPr>
          <w:lang w:val="es-ES"/>
        </w:rPr>
        <w:t>Objetivos generales</w:t>
      </w:r>
    </w:p>
    <w:p w14:paraId="59C71455" w14:textId="77777777" w:rsidR="00631DCC" w:rsidRPr="00E52962" w:rsidRDefault="00631DCC" w:rsidP="00631DCC">
      <w:pPr>
        <w:rPr>
          <w:lang w:val="es-ES"/>
        </w:rPr>
      </w:pPr>
      <w:r w:rsidRPr="00E52962">
        <w:rPr>
          <w:rFonts w:ascii="Arial" w:hAnsi="Arial" w:cs="Arial"/>
          <w:sz w:val="22"/>
          <w:szCs w:val="22"/>
          <w:lang w:val="es-ES"/>
        </w:rPr>
        <w:t>- Proporcionar formación a diversas partes interesadas para que comprendan mejor el enfoque de la TD, el potencial de la investigación de la TD para producir información útil para la formulación de políticas y la toma de decisiones, y la aplicación, y para desarrollar políticas basadas en pruebas;</w:t>
      </w:r>
    </w:p>
    <w:p w14:paraId="4563F924" w14:textId="77777777" w:rsidR="00631DCC" w:rsidRPr="00E52962" w:rsidRDefault="00631DCC" w:rsidP="00631DCC">
      <w:pPr>
        <w:rPr>
          <w:lang w:val="es-ES"/>
        </w:rPr>
      </w:pPr>
      <w:r w:rsidRPr="00E52962">
        <w:rPr>
          <w:rFonts w:ascii="Arial" w:hAnsi="Arial" w:cs="Arial"/>
          <w:sz w:val="22"/>
          <w:szCs w:val="22"/>
          <w:lang w:val="es-ES"/>
        </w:rPr>
        <w:lastRenderedPageBreak/>
        <w:t>- Alentar a los investigadores y a las partes interesadas de las Américas a trabajar juntos en el nexo CEH, respondiendo así a los desafíos sociales y políticos identificados por la Conferencia de las Partes del IAI y los marcos globales proporcionados por los acuerdos y organizaciones ambientales multilaterales, incluyendo las Contribuciones Nacionalmente Determinadas, los Planes Nacionales de Adaptación a la Salud y los Objetivos de Desarrollo Sostenible;</w:t>
      </w:r>
    </w:p>
    <w:p w14:paraId="2759A203" w14:textId="77777777" w:rsidR="00631DCC" w:rsidRPr="00E52962" w:rsidRDefault="00631DCC" w:rsidP="00631DCC">
      <w:pPr>
        <w:rPr>
          <w:lang w:val="es-ES"/>
        </w:rPr>
      </w:pPr>
      <w:r w:rsidRPr="00E52962">
        <w:rPr>
          <w:rFonts w:ascii="Arial" w:hAnsi="Arial" w:cs="Arial"/>
          <w:sz w:val="22"/>
          <w:szCs w:val="22"/>
          <w:lang w:val="es-ES"/>
        </w:rPr>
        <w:t>- Fomentar la colaboración en materia de investigación a nivel regional, poniendo en contacto a personas de instituciones de investigación y políticas de distintas disciplinas y países, fortaleciendo así una comunidad de práctica regional de la CEH de las Américas;</w:t>
      </w:r>
    </w:p>
    <w:p w14:paraId="34A90EF4" w14:textId="77777777" w:rsidR="00631DCC" w:rsidRPr="00E52962" w:rsidRDefault="00631DCC" w:rsidP="00631DCC">
      <w:pPr>
        <w:rPr>
          <w:lang w:val="es-ES"/>
        </w:rPr>
      </w:pPr>
      <w:r w:rsidRPr="00E52962">
        <w:rPr>
          <w:rFonts w:ascii="Arial" w:hAnsi="Arial" w:cs="Arial"/>
          <w:sz w:val="22"/>
          <w:szCs w:val="22"/>
          <w:lang w:val="es-ES"/>
        </w:rPr>
        <w:t xml:space="preserve">- Reforzar las capacidades, en particular de los profesionales que se encuentran en la fase inicial de su carrera y de las personas pertenecientes a grupos históricamente </w:t>
      </w:r>
      <w:proofErr w:type="spellStart"/>
      <w:r w:rsidRPr="00E52962">
        <w:rPr>
          <w:rFonts w:ascii="Arial" w:hAnsi="Arial" w:cs="Arial"/>
          <w:sz w:val="22"/>
          <w:szCs w:val="22"/>
          <w:lang w:val="es-ES"/>
        </w:rPr>
        <w:t>subrepresentados</w:t>
      </w:r>
      <w:proofErr w:type="spellEnd"/>
      <w:r w:rsidRPr="00E52962">
        <w:rPr>
          <w:rFonts w:ascii="Arial" w:hAnsi="Arial" w:cs="Arial"/>
          <w:sz w:val="22"/>
          <w:szCs w:val="22"/>
          <w:lang w:val="es-ES"/>
        </w:rPr>
        <w:t>, para adoptar un enfoque de TD;</w:t>
      </w:r>
    </w:p>
    <w:p w14:paraId="54AF7384" w14:textId="1334A6EA" w:rsidR="00631DCC" w:rsidRPr="00E52962" w:rsidRDefault="00631DCC" w:rsidP="00631DCC">
      <w:pPr>
        <w:rPr>
          <w:lang w:val="es-ES"/>
        </w:rPr>
      </w:pPr>
      <w:r w:rsidRPr="00E52962">
        <w:rPr>
          <w:rFonts w:ascii="Arial" w:hAnsi="Arial" w:cs="Arial"/>
          <w:sz w:val="22"/>
          <w:szCs w:val="22"/>
          <w:lang w:val="es-ES"/>
        </w:rPr>
        <w:t xml:space="preserve">- Apoyar a las </w:t>
      </w:r>
      <w:r w:rsidR="006046AC">
        <w:rPr>
          <w:rFonts w:ascii="Arial" w:hAnsi="Arial" w:cs="Arial"/>
          <w:sz w:val="22"/>
          <w:szCs w:val="22"/>
          <w:lang w:val="es-ES"/>
        </w:rPr>
        <w:t>instituciones del estado</w:t>
      </w:r>
      <w:r w:rsidRPr="00E52962">
        <w:rPr>
          <w:rFonts w:ascii="Arial" w:hAnsi="Arial" w:cs="Arial"/>
          <w:sz w:val="22"/>
          <w:szCs w:val="22"/>
          <w:lang w:val="es-ES"/>
        </w:rPr>
        <w:t xml:space="preserve"> (por ejemplo, Ministerios de Medio Ambiente, Ministerios de Salud, Servicios Meteorológicos, etc.) </w:t>
      </w:r>
      <w:r w:rsidR="006046AC">
        <w:rPr>
          <w:rFonts w:ascii="Arial" w:hAnsi="Arial" w:cs="Arial"/>
          <w:sz w:val="22"/>
          <w:szCs w:val="22"/>
          <w:lang w:val="es-ES"/>
        </w:rPr>
        <w:t xml:space="preserve">y gobiernos </w:t>
      </w:r>
      <w:proofErr w:type="spellStart"/>
      <w:r w:rsidR="006046AC">
        <w:rPr>
          <w:rFonts w:ascii="Arial" w:hAnsi="Arial" w:cs="Arial"/>
          <w:sz w:val="22"/>
          <w:szCs w:val="22"/>
          <w:lang w:val="es-ES"/>
        </w:rPr>
        <w:t>subnacionales</w:t>
      </w:r>
      <w:proofErr w:type="spellEnd"/>
      <w:r w:rsidR="006046AC">
        <w:rPr>
          <w:rFonts w:ascii="Arial" w:hAnsi="Arial" w:cs="Arial"/>
          <w:sz w:val="22"/>
          <w:szCs w:val="22"/>
          <w:lang w:val="es-ES"/>
        </w:rPr>
        <w:t xml:space="preserve"> y locales </w:t>
      </w:r>
      <w:r w:rsidRPr="00E52962">
        <w:rPr>
          <w:rFonts w:ascii="Arial" w:hAnsi="Arial" w:cs="Arial"/>
          <w:sz w:val="22"/>
          <w:szCs w:val="22"/>
          <w:lang w:val="es-ES"/>
        </w:rPr>
        <w:t xml:space="preserve">de los países miembros del IAI para fortalecer capacidades profesionales e institucionales </w:t>
      </w:r>
      <w:r w:rsidR="006046AC">
        <w:rPr>
          <w:rFonts w:ascii="Arial" w:hAnsi="Arial" w:cs="Arial"/>
          <w:sz w:val="22"/>
          <w:szCs w:val="22"/>
          <w:lang w:val="es-ES"/>
        </w:rPr>
        <w:t xml:space="preserve">desde una perspectiva </w:t>
      </w:r>
      <w:proofErr w:type="spellStart"/>
      <w:r w:rsidR="006046AC">
        <w:rPr>
          <w:rFonts w:ascii="Arial" w:hAnsi="Arial" w:cs="Arial"/>
          <w:sz w:val="22"/>
          <w:szCs w:val="22"/>
          <w:lang w:val="es-ES"/>
        </w:rPr>
        <w:t>transdisciplinaria</w:t>
      </w:r>
      <w:proofErr w:type="spellEnd"/>
      <w:r w:rsidRPr="00E52962">
        <w:rPr>
          <w:rFonts w:ascii="Arial" w:hAnsi="Arial" w:cs="Arial"/>
          <w:sz w:val="22"/>
          <w:szCs w:val="22"/>
          <w:lang w:val="es-ES"/>
        </w:rPr>
        <w:t xml:space="preserve"> en la interfaz ciencia-política</w:t>
      </w:r>
      <w:r w:rsidR="006046AC">
        <w:rPr>
          <w:rFonts w:ascii="Arial" w:hAnsi="Arial" w:cs="Arial"/>
          <w:sz w:val="22"/>
          <w:szCs w:val="22"/>
          <w:lang w:val="es-ES"/>
        </w:rPr>
        <w:t>s públicas.</w:t>
      </w:r>
      <w:r w:rsidRPr="00E52962">
        <w:rPr>
          <w:rFonts w:ascii="Arial" w:hAnsi="Arial" w:cs="Arial"/>
          <w:sz w:val="22"/>
          <w:szCs w:val="22"/>
          <w:lang w:val="es-ES"/>
        </w:rPr>
        <w:t xml:space="preserve"> </w:t>
      </w:r>
    </w:p>
    <w:p w14:paraId="69EF76BA" w14:textId="77777777" w:rsidR="00631DCC" w:rsidRPr="00E52962" w:rsidRDefault="00631DCC" w:rsidP="00631DCC">
      <w:pPr>
        <w:rPr>
          <w:lang w:val="es-ES"/>
        </w:rPr>
      </w:pPr>
      <w:r w:rsidRPr="00E52962">
        <w:rPr>
          <w:rFonts w:ascii="Arial" w:hAnsi="Arial" w:cs="Arial"/>
          <w:sz w:val="22"/>
          <w:szCs w:val="22"/>
          <w:lang w:val="es-ES"/>
        </w:rPr>
        <w:t xml:space="preserve">- Contribuir a las soluciones para el cambio global que aumenten la salud y el bienestar de los seres humanos, incrementen la resiliencia de la sociedad, reduzcan la vulnerabilidad y las desigualdades, y aumenten la sostenibilidad </w:t>
      </w:r>
      <w:proofErr w:type="spellStart"/>
      <w:r w:rsidRPr="00E52962">
        <w:rPr>
          <w:rFonts w:ascii="Arial" w:hAnsi="Arial" w:cs="Arial"/>
          <w:sz w:val="22"/>
          <w:szCs w:val="22"/>
          <w:lang w:val="es-ES"/>
        </w:rPr>
        <w:t>socioecológica</w:t>
      </w:r>
      <w:proofErr w:type="spellEnd"/>
      <w:r w:rsidRPr="00E52962">
        <w:rPr>
          <w:rFonts w:ascii="Arial" w:hAnsi="Arial" w:cs="Arial"/>
          <w:sz w:val="22"/>
          <w:szCs w:val="22"/>
          <w:lang w:val="es-ES"/>
        </w:rPr>
        <w:t xml:space="preserve"> de las Américas;</w:t>
      </w:r>
    </w:p>
    <w:p w14:paraId="22AAAD5E" w14:textId="77777777" w:rsidR="00631DCC" w:rsidRPr="00E52962" w:rsidRDefault="00631DCC" w:rsidP="00631DCC">
      <w:pPr>
        <w:rPr>
          <w:lang w:val="es-ES"/>
        </w:rPr>
      </w:pPr>
      <w:r w:rsidRPr="00E52962">
        <w:rPr>
          <w:rFonts w:ascii="Arial" w:hAnsi="Arial" w:cs="Arial"/>
          <w:sz w:val="22"/>
          <w:szCs w:val="22"/>
          <w:lang w:val="es-ES"/>
        </w:rPr>
        <w:t>- Mejorar la capacidad de comunicación de los procesos de investigación y política en materia de clima, medio ambiente y salud para llegar a un público más amplio, profundizando en la capacidad de generar resultados orientados a la búsqueda de soluciones;</w:t>
      </w:r>
    </w:p>
    <w:p w14:paraId="08C9A2ED" w14:textId="77777777" w:rsidR="00631DCC" w:rsidRPr="00E52962" w:rsidRDefault="00631DCC" w:rsidP="00631DCC">
      <w:pPr>
        <w:jc w:val="both"/>
        <w:rPr>
          <w:lang w:val="es-ES"/>
        </w:rPr>
      </w:pPr>
      <w:r w:rsidRPr="00E52962">
        <w:rPr>
          <w:rFonts w:ascii="Arial" w:hAnsi="Arial" w:cs="Arial"/>
          <w:sz w:val="22"/>
          <w:szCs w:val="22"/>
          <w:lang w:val="es-ES"/>
        </w:rPr>
        <w:t>- Desarrollar mecanismos de cofinanciación de la investigación regional, la creación de capacidades y las iniciativas de política científica;</w:t>
      </w:r>
    </w:p>
    <w:p w14:paraId="3A7C2548" w14:textId="77777777" w:rsidR="00631DCC" w:rsidRPr="00E52962" w:rsidRDefault="00631DCC" w:rsidP="00631DCC">
      <w:pPr>
        <w:jc w:val="both"/>
        <w:rPr>
          <w:lang w:val="es-ES"/>
        </w:rPr>
      </w:pPr>
      <w:r w:rsidRPr="00E52962">
        <w:rPr>
          <w:rFonts w:ascii="Arial" w:hAnsi="Arial" w:cs="Arial"/>
          <w:sz w:val="22"/>
          <w:szCs w:val="22"/>
          <w:lang w:val="es-ES"/>
        </w:rPr>
        <w:t>- Apoyar el desarrollo de propuestas de proyectos competitivos basados en un enfoque de TD en el nexo entre clima, medio ambiente y salud.</w:t>
      </w:r>
    </w:p>
    <w:p w14:paraId="47AF0410" w14:textId="77777777" w:rsidR="00631DCC" w:rsidRPr="00E52962" w:rsidRDefault="00631DCC" w:rsidP="00631DCC">
      <w:pPr>
        <w:jc w:val="both"/>
        <w:rPr>
          <w:rFonts w:ascii="Arial" w:eastAsia="Arial" w:hAnsi="Arial" w:cs="Arial"/>
          <w:b/>
          <w:bCs/>
          <w:sz w:val="22"/>
          <w:szCs w:val="22"/>
          <w:lang w:val="es-ES"/>
        </w:rPr>
      </w:pPr>
    </w:p>
    <w:p w14:paraId="203BA98A" w14:textId="77777777" w:rsidR="00631DCC" w:rsidRPr="00E52962" w:rsidRDefault="00631DCC" w:rsidP="00631DCC">
      <w:pPr>
        <w:pStyle w:val="Ttulo1"/>
        <w:rPr>
          <w:lang w:val="es-ES"/>
        </w:rPr>
      </w:pPr>
      <w:r w:rsidRPr="00E52962">
        <w:rPr>
          <w:lang w:val="es-ES"/>
        </w:rPr>
        <w:t>Fases</w:t>
      </w:r>
    </w:p>
    <w:p w14:paraId="2BE3D0CD" w14:textId="77777777" w:rsidR="00631DCC" w:rsidRPr="00E52962" w:rsidRDefault="00631DCC" w:rsidP="00631DCC">
      <w:pPr>
        <w:jc w:val="both"/>
        <w:rPr>
          <w:lang w:val="es-ES"/>
        </w:rPr>
      </w:pPr>
      <w:r w:rsidRPr="00E52962">
        <w:rPr>
          <w:rFonts w:ascii="Arial" w:eastAsia="Arial" w:hAnsi="Arial" w:cs="Arial"/>
          <w:sz w:val="22"/>
          <w:szCs w:val="22"/>
          <w:lang w:val="es-ES"/>
        </w:rPr>
        <w:t>Este proceso consta de tres fases (</w:t>
      </w:r>
      <w:r w:rsidRPr="00E52962">
        <w:rPr>
          <w:rFonts w:ascii="Arial" w:hAnsi="Arial" w:cs="Arial"/>
          <w:sz w:val="22"/>
          <w:szCs w:val="22"/>
          <w:lang w:val="es-ES"/>
        </w:rPr>
        <w:t xml:space="preserve">más </w:t>
      </w:r>
      <w:r w:rsidRPr="00E52962">
        <w:rPr>
          <w:rFonts w:ascii="Arial" w:eastAsia="Arial" w:hAnsi="Arial" w:cs="Arial"/>
          <w:sz w:val="22"/>
          <w:szCs w:val="22"/>
          <w:lang w:val="es-ES"/>
        </w:rPr>
        <w:t>detalles a continuación):</w:t>
      </w:r>
    </w:p>
    <w:p w14:paraId="5DCE0EC1" w14:textId="77777777" w:rsidR="00631DCC" w:rsidRDefault="00631DCC" w:rsidP="00631DCC">
      <w:pPr>
        <w:jc w:val="both"/>
        <w:rPr>
          <w:rFonts w:ascii="Arial" w:eastAsia="Arial" w:hAnsi="Arial" w:cs="Arial"/>
          <w:sz w:val="22"/>
          <w:szCs w:val="22"/>
        </w:rPr>
      </w:pPr>
      <w:r w:rsidRPr="00E52962">
        <w:rPr>
          <w:rFonts w:ascii="Arial" w:eastAsia="Arial" w:hAnsi="Arial" w:cs="Arial"/>
          <w:sz w:val="22"/>
          <w:szCs w:val="22"/>
          <w:lang w:val="es-ES"/>
        </w:rPr>
        <w:tab/>
      </w:r>
      <w:proofErr w:type="spellStart"/>
      <w:r>
        <w:rPr>
          <w:rFonts w:ascii="Arial" w:hAnsi="Arial" w:cs="Arial"/>
          <w:color w:val="000000" w:themeColor="text1"/>
          <w:sz w:val="22"/>
          <w:szCs w:val="22"/>
        </w:rPr>
        <w:t>Fase</w:t>
      </w:r>
      <w:proofErr w:type="spellEnd"/>
      <w:r>
        <w:rPr>
          <w:rFonts w:ascii="Arial" w:hAnsi="Arial" w:cs="Arial"/>
          <w:color w:val="000000" w:themeColor="text1"/>
          <w:sz w:val="22"/>
          <w:szCs w:val="22"/>
        </w:rPr>
        <w:t xml:space="preserve"> 1:</w:t>
      </w:r>
    </w:p>
    <w:p w14:paraId="4518EA7D" w14:textId="77777777" w:rsidR="00631DCC" w:rsidRPr="00E52962" w:rsidRDefault="00631DCC" w:rsidP="00631DCC">
      <w:pPr>
        <w:pStyle w:val="Prrafodelista"/>
        <w:numPr>
          <w:ilvl w:val="0"/>
          <w:numId w:val="5"/>
        </w:numPr>
        <w:ind w:left="1134" w:hanging="414"/>
        <w:jc w:val="both"/>
        <w:rPr>
          <w:rFonts w:ascii="Arial" w:hAnsi="Arial" w:cs="Arial"/>
          <w:color w:val="000000" w:themeColor="text1"/>
          <w:sz w:val="22"/>
          <w:szCs w:val="22"/>
          <w:lang w:val="es-ES"/>
        </w:rPr>
      </w:pPr>
      <w:r w:rsidRPr="00E52962">
        <w:rPr>
          <w:rFonts w:ascii="Arial" w:hAnsi="Arial" w:cs="Arial"/>
          <w:color w:val="000000" w:themeColor="text1"/>
          <w:sz w:val="22"/>
          <w:szCs w:val="22"/>
          <w:lang w:val="es-ES"/>
        </w:rPr>
        <w:t xml:space="preserve">Formación y tutoría virtual de 7 semanas en ciencia </w:t>
      </w:r>
      <w:proofErr w:type="spellStart"/>
      <w:r w:rsidRPr="00E52962">
        <w:rPr>
          <w:rFonts w:ascii="Arial" w:hAnsi="Arial" w:cs="Arial"/>
          <w:color w:val="000000" w:themeColor="text1"/>
          <w:sz w:val="22"/>
          <w:szCs w:val="22"/>
          <w:lang w:val="es-ES"/>
        </w:rPr>
        <w:t>transdisciplinar</w:t>
      </w:r>
      <w:proofErr w:type="spellEnd"/>
      <w:r w:rsidRPr="00E52962">
        <w:rPr>
          <w:rFonts w:ascii="Arial" w:hAnsi="Arial" w:cs="Arial"/>
          <w:color w:val="000000" w:themeColor="text1"/>
          <w:sz w:val="22"/>
          <w:szCs w:val="22"/>
          <w:lang w:val="es-ES"/>
        </w:rPr>
        <w:t xml:space="preserve">, política y ética, coproducción de conocimientos y redacción de proyectos. </w:t>
      </w:r>
    </w:p>
    <w:p w14:paraId="67E89839" w14:textId="77777777" w:rsidR="00631DCC" w:rsidRPr="00E52962" w:rsidRDefault="00631DCC" w:rsidP="00631DCC">
      <w:pPr>
        <w:pStyle w:val="Prrafodelista"/>
        <w:numPr>
          <w:ilvl w:val="0"/>
          <w:numId w:val="5"/>
        </w:numPr>
        <w:ind w:left="1134" w:hanging="414"/>
        <w:jc w:val="both"/>
        <w:rPr>
          <w:rFonts w:ascii="Arial" w:hAnsi="Arial" w:cs="Arial"/>
          <w:color w:val="000000" w:themeColor="text1"/>
          <w:sz w:val="22"/>
          <w:szCs w:val="22"/>
          <w:lang w:val="es-ES"/>
        </w:rPr>
      </w:pPr>
      <w:r w:rsidRPr="00E52962">
        <w:rPr>
          <w:rFonts w:ascii="Arial" w:hAnsi="Arial" w:cs="Arial"/>
          <w:color w:val="000000" w:themeColor="text1"/>
          <w:sz w:val="22"/>
          <w:szCs w:val="22"/>
          <w:lang w:val="es-ES"/>
        </w:rPr>
        <w:t xml:space="preserve">Taller de formación virtual para identificar los temas de las propuestas de proyectos CEH. </w:t>
      </w:r>
    </w:p>
    <w:p w14:paraId="6124A23D" w14:textId="77777777" w:rsidR="00631DCC" w:rsidRDefault="00631DCC" w:rsidP="00631DCC">
      <w:pPr>
        <w:ind w:left="360"/>
        <w:jc w:val="both"/>
        <w:rPr>
          <w:rFonts w:ascii="Arial" w:hAnsi="Arial" w:cs="Arial"/>
          <w:color w:val="000000" w:themeColor="text1"/>
          <w:sz w:val="22"/>
          <w:szCs w:val="22"/>
        </w:rPr>
      </w:pPr>
      <w:proofErr w:type="spellStart"/>
      <w:r>
        <w:rPr>
          <w:rFonts w:ascii="Arial" w:hAnsi="Arial" w:cs="Arial"/>
          <w:color w:val="000000" w:themeColor="text1"/>
          <w:sz w:val="22"/>
          <w:szCs w:val="22"/>
        </w:rPr>
        <w:t>Fase</w:t>
      </w:r>
      <w:proofErr w:type="spellEnd"/>
      <w:r>
        <w:rPr>
          <w:rFonts w:ascii="Arial" w:hAnsi="Arial" w:cs="Arial"/>
          <w:color w:val="000000" w:themeColor="text1"/>
          <w:sz w:val="22"/>
          <w:szCs w:val="22"/>
        </w:rPr>
        <w:t xml:space="preserve"> 2:</w:t>
      </w:r>
    </w:p>
    <w:p w14:paraId="5570EEB4" w14:textId="77777777" w:rsidR="00631DCC" w:rsidRPr="00E52962" w:rsidRDefault="00631DCC" w:rsidP="00631DCC">
      <w:pPr>
        <w:pStyle w:val="Prrafodelista"/>
        <w:numPr>
          <w:ilvl w:val="0"/>
          <w:numId w:val="6"/>
        </w:numPr>
        <w:jc w:val="both"/>
        <w:rPr>
          <w:rFonts w:ascii="Arial" w:hAnsi="Arial" w:cs="Arial"/>
          <w:color w:val="000000" w:themeColor="text1"/>
          <w:sz w:val="22"/>
          <w:szCs w:val="22"/>
          <w:lang w:val="es-ES"/>
        </w:rPr>
      </w:pPr>
      <w:r w:rsidRPr="00E52962">
        <w:rPr>
          <w:rFonts w:ascii="Arial" w:hAnsi="Arial" w:cs="Arial"/>
          <w:color w:val="000000" w:themeColor="text1"/>
          <w:sz w:val="22"/>
          <w:szCs w:val="22"/>
          <w:lang w:val="es-ES"/>
        </w:rPr>
        <w:t xml:space="preserve">Taller presencial de desarrollo de subvenciones regionales. </w:t>
      </w:r>
    </w:p>
    <w:p w14:paraId="6882427C" w14:textId="77777777" w:rsidR="00631DCC" w:rsidRPr="00E52962" w:rsidRDefault="00631DCC" w:rsidP="00631DCC">
      <w:pPr>
        <w:pStyle w:val="Prrafodelista"/>
        <w:numPr>
          <w:ilvl w:val="0"/>
          <w:numId w:val="6"/>
        </w:numPr>
        <w:jc w:val="both"/>
        <w:rPr>
          <w:rFonts w:ascii="Arial" w:hAnsi="Arial" w:cs="Arial"/>
          <w:color w:val="000000" w:themeColor="text1"/>
          <w:sz w:val="22"/>
          <w:szCs w:val="22"/>
          <w:lang w:val="es-ES"/>
        </w:rPr>
      </w:pPr>
      <w:r w:rsidRPr="00E52962">
        <w:rPr>
          <w:rFonts w:ascii="Arial" w:hAnsi="Arial" w:cs="Arial"/>
          <w:color w:val="000000" w:themeColor="text1"/>
          <w:sz w:val="22"/>
          <w:szCs w:val="22"/>
          <w:lang w:val="es-ES"/>
        </w:rPr>
        <w:t xml:space="preserve">Tutoría virtual para reforzar el desarrollo de propuestas de proyectos CEH para equipos de TD. </w:t>
      </w:r>
    </w:p>
    <w:p w14:paraId="683D79BE" w14:textId="77777777" w:rsidR="00631DCC" w:rsidRDefault="00631DCC" w:rsidP="00631DCC">
      <w:pPr>
        <w:ind w:left="360"/>
        <w:jc w:val="both"/>
        <w:rPr>
          <w:rFonts w:ascii="Arial" w:hAnsi="Arial" w:cs="Arial"/>
          <w:color w:val="000000" w:themeColor="text1"/>
          <w:sz w:val="22"/>
          <w:szCs w:val="22"/>
        </w:rPr>
      </w:pPr>
      <w:proofErr w:type="spellStart"/>
      <w:r>
        <w:rPr>
          <w:rFonts w:ascii="Arial" w:hAnsi="Arial" w:cs="Arial"/>
          <w:color w:val="000000" w:themeColor="text1"/>
          <w:sz w:val="22"/>
          <w:szCs w:val="22"/>
        </w:rPr>
        <w:t>Fase</w:t>
      </w:r>
      <w:proofErr w:type="spellEnd"/>
      <w:r>
        <w:rPr>
          <w:rFonts w:ascii="Arial" w:hAnsi="Arial" w:cs="Arial"/>
          <w:color w:val="000000" w:themeColor="text1"/>
          <w:sz w:val="22"/>
          <w:szCs w:val="22"/>
        </w:rPr>
        <w:t xml:space="preserve"> 3:</w:t>
      </w:r>
    </w:p>
    <w:p w14:paraId="1974610B" w14:textId="211EF24F" w:rsidR="00631DCC" w:rsidRDefault="00631DCC" w:rsidP="00631DCC">
      <w:pPr>
        <w:pStyle w:val="Prrafodelista"/>
        <w:numPr>
          <w:ilvl w:val="0"/>
          <w:numId w:val="6"/>
        </w:numPr>
        <w:jc w:val="both"/>
        <w:rPr>
          <w:rFonts w:ascii="Arial" w:hAnsi="Arial" w:cs="Arial"/>
          <w:color w:val="000000" w:themeColor="text1"/>
          <w:sz w:val="22"/>
          <w:szCs w:val="22"/>
        </w:rPr>
      </w:pPr>
      <w:proofErr w:type="spellStart"/>
      <w:r>
        <w:rPr>
          <w:rFonts w:ascii="Arial" w:hAnsi="Arial" w:cs="Arial"/>
          <w:color w:val="000000" w:themeColor="text1"/>
          <w:sz w:val="22"/>
          <w:szCs w:val="22"/>
        </w:rPr>
        <w:t>Subvenciones</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iniciales</w:t>
      </w:r>
      <w:proofErr w:type="spellEnd"/>
      <w:r>
        <w:rPr>
          <w:rFonts w:ascii="Arial" w:hAnsi="Arial" w:cs="Arial"/>
          <w:color w:val="000000" w:themeColor="text1"/>
          <w:sz w:val="22"/>
          <w:szCs w:val="22"/>
        </w:rPr>
        <w:t xml:space="preserve"> con </w:t>
      </w:r>
      <w:proofErr w:type="spellStart"/>
      <w:r>
        <w:rPr>
          <w:rFonts w:ascii="Arial" w:hAnsi="Arial" w:cs="Arial"/>
          <w:color w:val="000000" w:themeColor="text1"/>
          <w:sz w:val="22"/>
          <w:szCs w:val="22"/>
        </w:rPr>
        <w:t>cofinanciación</w:t>
      </w:r>
      <w:proofErr w:type="spellEnd"/>
      <w:r>
        <w:rPr>
          <w:rFonts w:ascii="Arial" w:hAnsi="Arial" w:cs="Arial"/>
          <w:color w:val="000000" w:themeColor="text1"/>
          <w:sz w:val="22"/>
          <w:szCs w:val="22"/>
        </w:rPr>
        <w:t>.</w:t>
      </w:r>
    </w:p>
    <w:p w14:paraId="3B4288C8" w14:textId="77777777" w:rsidR="006046AC" w:rsidRDefault="006046AC" w:rsidP="00631DCC">
      <w:pPr>
        <w:pStyle w:val="Prrafodelista"/>
        <w:numPr>
          <w:ilvl w:val="0"/>
          <w:numId w:val="6"/>
        </w:numPr>
        <w:jc w:val="both"/>
        <w:rPr>
          <w:rFonts w:ascii="Arial" w:hAnsi="Arial" w:cs="Arial"/>
          <w:color w:val="000000" w:themeColor="text1"/>
          <w:sz w:val="22"/>
          <w:szCs w:val="22"/>
        </w:rPr>
      </w:pPr>
    </w:p>
    <w:p w14:paraId="12884620" w14:textId="77777777" w:rsidR="006046AC" w:rsidRPr="006046AC" w:rsidRDefault="006046AC" w:rsidP="006046AC">
      <w:pPr>
        <w:rPr>
          <w:lang w:val="es-ES"/>
        </w:rPr>
      </w:pPr>
      <w:r w:rsidRPr="006046AC">
        <w:rPr>
          <w:rFonts w:ascii="Arial" w:hAnsi="Arial" w:cs="Arial"/>
          <w:sz w:val="22"/>
          <w:szCs w:val="22"/>
          <w:lang w:val="es-ES"/>
        </w:rPr>
        <w:t>Los equipos a los que se les conceda una subvención inicial seguirán colaborando con los mentores de TD a lo largo de la subvención, y se espera que compartan con otros grupos la formación que han recibido.</w:t>
      </w:r>
    </w:p>
    <w:p w14:paraId="20BB8F81" w14:textId="03688B33" w:rsidR="00631DCC" w:rsidRPr="006046AC" w:rsidRDefault="00631DCC" w:rsidP="00631DCC">
      <w:pPr>
        <w:spacing w:line="276" w:lineRule="auto"/>
        <w:rPr>
          <w:rFonts w:ascii="Arial" w:hAnsi="Arial" w:cs="Arial"/>
          <w:sz w:val="22"/>
          <w:szCs w:val="22"/>
          <w:lang w:val="es-ES"/>
        </w:rPr>
      </w:pPr>
    </w:p>
    <w:p w14:paraId="567D1DA8" w14:textId="77777777" w:rsidR="00631DCC" w:rsidRPr="00C73745" w:rsidRDefault="00631DCC" w:rsidP="00631DCC">
      <w:pPr>
        <w:pStyle w:val="Ttulo1"/>
        <w:rPr>
          <w:lang w:val="es-ES"/>
        </w:rPr>
      </w:pPr>
      <w:r w:rsidRPr="00C73745">
        <w:rPr>
          <w:lang w:val="es-ES"/>
        </w:rPr>
        <w:t>Público objetivo</w:t>
      </w:r>
    </w:p>
    <w:p w14:paraId="18E78F0C" w14:textId="77777777" w:rsidR="00631DCC" w:rsidRPr="00E52962" w:rsidRDefault="00631DCC" w:rsidP="00631DCC">
      <w:pPr>
        <w:rPr>
          <w:lang w:val="es-ES"/>
        </w:rPr>
      </w:pPr>
      <w:r w:rsidRPr="00E52962">
        <w:rPr>
          <w:rFonts w:ascii="Arial" w:hAnsi="Arial" w:cs="Arial"/>
          <w:sz w:val="22"/>
          <w:szCs w:val="22"/>
          <w:lang w:val="es-ES"/>
        </w:rPr>
        <w:t xml:space="preserve">Responsables de la toma de decisiones y de la formulación de políticas, ejecutores y profesionales que trabajan en el nexo entre el clima, el medio ambiente y la salud y que están </w:t>
      </w:r>
      <w:r w:rsidRPr="00E52962">
        <w:rPr>
          <w:rFonts w:ascii="Arial" w:hAnsi="Arial" w:cs="Arial"/>
          <w:sz w:val="22"/>
          <w:szCs w:val="22"/>
          <w:lang w:val="es-ES"/>
        </w:rPr>
        <w:lastRenderedPageBreak/>
        <w:t xml:space="preserve">interesados en adquirir conocimientos sobre el enfoque de la TD y el desarrollo de proyectos científico-políticos, tales como: funcionarios gubernamentales a nivel nacional y </w:t>
      </w:r>
      <w:proofErr w:type="spellStart"/>
      <w:r w:rsidRPr="00E52962">
        <w:rPr>
          <w:rFonts w:ascii="Arial" w:hAnsi="Arial" w:cs="Arial"/>
          <w:sz w:val="22"/>
          <w:szCs w:val="22"/>
          <w:lang w:val="es-ES"/>
        </w:rPr>
        <w:t>subnacional</w:t>
      </w:r>
      <w:proofErr w:type="spellEnd"/>
      <w:r w:rsidRPr="00E52962">
        <w:rPr>
          <w:rFonts w:ascii="Arial" w:hAnsi="Arial" w:cs="Arial"/>
          <w:sz w:val="22"/>
          <w:szCs w:val="22"/>
          <w:lang w:val="es-ES"/>
        </w:rPr>
        <w:t xml:space="preserve">; miembros y líderes de las comunidades y de la sociedad civil; usuarios del conocimiento e investigadores de sectores clave (medicina, epidemiología, salud pública, medio ambiente, clima, servicios meteorológicos) </w:t>
      </w:r>
    </w:p>
    <w:p w14:paraId="0667911C" w14:textId="77777777" w:rsidR="00631DCC" w:rsidRPr="00E52962" w:rsidRDefault="00631DCC" w:rsidP="00631DCC">
      <w:pPr>
        <w:rPr>
          <w:rFonts w:ascii="Arial" w:hAnsi="Arial" w:cs="Arial"/>
          <w:sz w:val="22"/>
          <w:szCs w:val="22"/>
          <w:lang w:val="es-ES"/>
        </w:rPr>
      </w:pPr>
    </w:p>
    <w:p w14:paraId="4E36992A" w14:textId="77777777" w:rsidR="00631DCC" w:rsidRPr="00E52962" w:rsidRDefault="00631DCC" w:rsidP="00631DCC">
      <w:pPr>
        <w:rPr>
          <w:rFonts w:ascii="Arial" w:hAnsi="Arial" w:cs="Arial"/>
          <w:i/>
          <w:iCs/>
          <w:color w:val="000000" w:themeColor="text1"/>
          <w:sz w:val="21"/>
          <w:szCs w:val="21"/>
          <w:lang w:val="es-ES"/>
        </w:rPr>
      </w:pPr>
      <w:r w:rsidRPr="00E52962">
        <w:rPr>
          <w:rFonts w:ascii="Arial" w:hAnsi="Arial" w:cs="Arial"/>
          <w:b/>
          <w:bCs/>
          <w:i/>
          <w:iCs/>
          <w:sz w:val="21"/>
          <w:szCs w:val="21"/>
          <w:lang w:val="es-ES"/>
        </w:rPr>
        <w:t xml:space="preserve">NOTA IMPORTANTE: Se </w:t>
      </w:r>
      <w:r w:rsidRPr="00E52962">
        <w:rPr>
          <w:rFonts w:ascii="Arial" w:hAnsi="Arial" w:cs="Arial"/>
          <w:i/>
          <w:iCs/>
          <w:sz w:val="21"/>
          <w:szCs w:val="21"/>
          <w:lang w:val="es-ES"/>
        </w:rPr>
        <w:t xml:space="preserve">espera que los participantes ya tengan conocimientos básicos sobre el nexo CEH, como los contenidos presentados en el curso </w:t>
      </w:r>
      <w:proofErr w:type="spellStart"/>
      <w:r w:rsidRPr="00E52962">
        <w:rPr>
          <w:rFonts w:ascii="Arial" w:hAnsi="Arial" w:cs="Arial"/>
          <w:i/>
          <w:iCs/>
          <w:sz w:val="21"/>
          <w:szCs w:val="21"/>
          <w:lang w:val="es-ES"/>
        </w:rPr>
        <w:t>Climate</w:t>
      </w:r>
      <w:proofErr w:type="spellEnd"/>
      <w:r w:rsidRPr="00E52962">
        <w:rPr>
          <w:rFonts w:ascii="Arial" w:hAnsi="Arial" w:cs="Arial"/>
          <w:i/>
          <w:iCs/>
          <w:sz w:val="21"/>
          <w:szCs w:val="21"/>
          <w:lang w:val="es-ES"/>
        </w:rPr>
        <w:t xml:space="preserve"> &amp; </w:t>
      </w:r>
      <w:proofErr w:type="spellStart"/>
      <w:r w:rsidRPr="00E52962">
        <w:rPr>
          <w:rFonts w:ascii="Arial" w:hAnsi="Arial" w:cs="Arial"/>
          <w:i/>
          <w:iCs/>
          <w:sz w:val="21"/>
          <w:szCs w:val="21"/>
          <w:lang w:val="es-ES"/>
        </w:rPr>
        <w:t>Health</w:t>
      </w:r>
      <w:proofErr w:type="spellEnd"/>
      <w:r w:rsidRPr="00E52962">
        <w:rPr>
          <w:rFonts w:ascii="Arial" w:hAnsi="Arial" w:cs="Arial"/>
          <w:i/>
          <w:iCs/>
          <w:sz w:val="21"/>
          <w:szCs w:val="21"/>
          <w:lang w:val="es-ES"/>
        </w:rPr>
        <w:t xml:space="preserve"> </w:t>
      </w:r>
      <w:proofErr w:type="spellStart"/>
      <w:r w:rsidRPr="00E52962">
        <w:rPr>
          <w:rFonts w:ascii="Arial" w:hAnsi="Arial" w:cs="Arial"/>
          <w:i/>
          <w:iCs/>
          <w:sz w:val="21"/>
          <w:szCs w:val="21"/>
          <w:lang w:val="es-ES"/>
        </w:rPr>
        <w:t>Responders</w:t>
      </w:r>
      <w:proofErr w:type="spellEnd"/>
      <w:r w:rsidRPr="00E52962">
        <w:rPr>
          <w:rFonts w:ascii="Arial" w:hAnsi="Arial" w:cs="Arial"/>
          <w:i/>
          <w:iCs/>
          <w:sz w:val="21"/>
          <w:szCs w:val="21"/>
          <w:lang w:val="es-ES"/>
        </w:rPr>
        <w:t xml:space="preserve"> </w:t>
      </w:r>
      <w:proofErr w:type="spellStart"/>
      <w:r w:rsidRPr="00E52962">
        <w:rPr>
          <w:rFonts w:ascii="Arial" w:hAnsi="Arial" w:cs="Arial"/>
          <w:i/>
          <w:iCs/>
          <w:sz w:val="21"/>
          <w:szCs w:val="21"/>
          <w:lang w:val="es-ES"/>
        </w:rPr>
        <w:t>Lectures</w:t>
      </w:r>
      <w:proofErr w:type="spellEnd"/>
      <w:r w:rsidRPr="00E52962">
        <w:rPr>
          <w:rFonts w:ascii="Arial" w:hAnsi="Arial" w:cs="Arial"/>
          <w:i/>
          <w:iCs/>
          <w:sz w:val="21"/>
          <w:szCs w:val="21"/>
          <w:lang w:val="es-ES"/>
        </w:rPr>
        <w:t xml:space="preserve"> (en español e inglés) y los materiales del curso (en español o inglés) están disponibles aquí de forma gratuita: </w:t>
      </w:r>
      <w:r w:rsidRPr="00E52962">
        <w:rPr>
          <w:rFonts w:ascii="Arial" w:hAnsi="Arial" w:cs="Arial"/>
          <w:color w:val="000000" w:themeColor="text1"/>
          <w:sz w:val="21"/>
          <w:szCs w:val="21"/>
          <w:lang w:val="es-ES"/>
        </w:rPr>
        <w:t>https:</w:t>
      </w:r>
      <w:r w:rsidRPr="00E52962">
        <w:rPr>
          <w:rFonts w:ascii="Arial" w:hAnsi="Arial" w:cs="Arial"/>
          <w:i/>
          <w:iCs/>
          <w:color w:val="000000" w:themeColor="text1"/>
          <w:sz w:val="21"/>
          <w:szCs w:val="21"/>
          <w:lang w:val="es-ES"/>
        </w:rPr>
        <w:t>//www.publichealth.columbia.edu/research/global-consortium-climate-and-health-education/climate-and-health-responder-course-latin-america).</w:t>
      </w:r>
    </w:p>
    <w:p w14:paraId="1F9ED0BA" w14:textId="77777777" w:rsidR="00631DCC" w:rsidRPr="00E52962" w:rsidRDefault="00631DCC" w:rsidP="00631DCC">
      <w:pPr>
        <w:pStyle w:val="Ttulo1"/>
        <w:rPr>
          <w:lang w:val="es-ES"/>
        </w:rPr>
      </w:pPr>
    </w:p>
    <w:p w14:paraId="2ABA3BB3" w14:textId="77777777" w:rsidR="00631DCC" w:rsidRPr="00E52962" w:rsidRDefault="00631DCC" w:rsidP="00631DCC">
      <w:pPr>
        <w:pStyle w:val="Ttulo1"/>
        <w:rPr>
          <w:lang w:val="es-ES"/>
        </w:rPr>
      </w:pPr>
      <w:r w:rsidRPr="00E52962">
        <w:rPr>
          <w:lang w:val="es-ES"/>
        </w:rPr>
        <w:t>Fase 1: tutoría y formación virtual de 7 semanas para equipos de TD</w:t>
      </w:r>
    </w:p>
    <w:p w14:paraId="45910A7C" w14:textId="77777777" w:rsidR="00631DCC" w:rsidRPr="00E52962" w:rsidRDefault="00631DCC" w:rsidP="00631DCC">
      <w:pPr>
        <w:jc w:val="both"/>
        <w:rPr>
          <w:rFonts w:ascii="Arial" w:hAnsi="Arial" w:cs="Arial"/>
          <w:color w:val="000000" w:themeColor="text1"/>
          <w:sz w:val="22"/>
          <w:szCs w:val="22"/>
          <w:lang w:val="es-ES"/>
        </w:rPr>
      </w:pPr>
    </w:p>
    <w:p w14:paraId="684C0352" w14:textId="77777777" w:rsidR="00631DCC" w:rsidRPr="00E52962" w:rsidRDefault="00631DCC" w:rsidP="00631DCC">
      <w:pPr>
        <w:jc w:val="both"/>
        <w:rPr>
          <w:rFonts w:ascii="Arial" w:hAnsi="Arial" w:cs="Arial"/>
          <w:color w:val="000000" w:themeColor="text1"/>
          <w:sz w:val="22"/>
          <w:szCs w:val="22"/>
          <w:lang w:val="es-ES"/>
        </w:rPr>
      </w:pPr>
      <w:r w:rsidRPr="00E52962">
        <w:rPr>
          <w:rFonts w:ascii="Arial" w:hAnsi="Arial" w:cs="Arial"/>
          <w:b/>
          <w:bCs/>
          <w:color w:val="000000" w:themeColor="text1"/>
          <w:sz w:val="22"/>
          <w:szCs w:val="22"/>
          <w:lang w:val="es-ES"/>
        </w:rPr>
        <w:t>Fechas</w:t>
      </w:r>
      <w:r w:rsidRPr="00E52962">
        <w:rPr>
          <w:rFonts w:ascii="Arial" w:hAnsi="Arial" w:cs="Arial"/>
          <w:color w:val="000000" w:themeColor="text1"/>
          <w:sz w:val="22"/>
          <w:szCs w:val="22"/>
          <w:lang w:val="es-ES"/>
        </w:rPr>
        <w:t xml:space="preserve">: 20 </w:t>
      </w:r>
      <w:proofErr w:type="spellStart"/>
      <w:r w:rsidRPr="00E52962">
        <w:rPr>
          <w:rFonts w:ascii="Arial" w:hAnsi="Arial" w:cs="Arial"/>
          <w:color w:val="000000" w:themeColor="text1"/>
          <w:sz w:val="22"/>
          <w:szCs w:val="22"/>
          <w:lang w:val="es-ES"/>
        </w:rPr>
        <w:t>Sep</w:t>
      </w:r>
      <w:proofErr w:type="spellEnd"/>
      <w:r w:rsidRPr="00E52962">
        <w:rPr>
          <w:rFonts w:ascii="Arial" w:hAnsi="Arial" w:cs="Arial"/>
          <w:color w:val="000000" w:themeColor="text1"/>
          <w:sz w:val="22"/>
          <w:szCs w:val="22"/>
          <w:lang w:val="es-ES"/>
        </w:rPr>
        <w:t xml:space="preserve"> 2022 - 03 Nov 2022, todos los martes y jueves, </w:t>
      </w:r>
      <w:r w:rsidRPr="00E52962">
        <w:rPr>
          <w:rFonts w:ascii="Arial" w:hAnsi="Arial" w:cs="Arial"/>
          <w:sz w:val="22"/>
          <w:szCs w:val="22"/>
          <w:lang w:val="es-ES"/>
        </w:rPr>
        <w:t>11:00 -12:30pm UYT</w:t>
      </w:r>
    </w:p>
    <w:p w14:paraId="47285D8B" w14:textId="77777777" w:rsidR="00631DCC" w:rsidRPr="00E52962" w:rsidRDefault="00631DCC" w:rsidP="00631DCC">
      <w:pPr>
        <w:jc w:val="both"/>
        <w:rPr>
          <w:rFonts w:ascii="Arial" w:hAnsi="Arial" w:cs="Arial"/>
          <w:color w:val="000000" w:themeColor="text1"/>
          <w:sz w:val="22"/>
          <w:szCs w:val="22"/>
          <w:lang w:val="es-ES"/>
        </w:rPr>
      </w:pPr>
    </w:p>
    <w:p w14:paraId="729987E4" w14:textId="77777777" w:rsidR="00631DCC" w:rsidRDefault="00631DCC" w:rsidP="00631DCC">
      <w:pPr>
        <w:rPr>
          <w:rFonts w:ascii="Arial" w:hAnsi="Arial" w:cs="Arial"/>
          <w:b/>
          <w:sz w:val="22"/>
          <w:szCs w:val="22"/>
        </w:rPr>
      </w:pPr>
      <w:proofErr w:type="spellStart"/>
      <w:r>
        <w:rPr>
          <w:rFonts w:ascii="Arial" w:hAnsi="Arial" w:cs="Arial"/>
          <w:b/>
          <w:sz w:val="22"/>
          <w:szCs w:val="22"/>
        </w:rPr>
        <w:t>Habilidades</w:t>
      </w:r>
      <w:proofErr w:type="spellEnd"/>
      <w:r>
        <w:rPr>
          <w:rFonts w:ascii="Arial" w:hAnsi="Arial" w:cs="Arial"/>
          <w:b/>
          <w:sz w:val="22"/>
          <w:szCs w:val="22"/>
        </w:rPr>
        <w:t xml:space="preserve"> y </w:t>
      </w:r>
      <w:proofErr w:type="spellStart"/>
      <w:r>
        <w:rPr>
          <w:rFonts w:ascii="Arial" w:hAnsi="Arial" w:cs="Arial"/>
          <w:b/>
          <w:sz w:val="22"/>
          <w:szCs w:val="22"/>
        </w:rPr>
        <w:t>conocimientos</w:t>
      </w:r>
      <w:proofErr w:type="spellEnd"/>
      <w:r>
        <w:rPr>
          <w:rFonts w:ascii="Arial" w:hAnsi="Arial" w:cs="Arial"/>
          <w:b/>
          <w:sz w:val="22"/>
          <w:szCs w:val="22"/>
        </w:rPr>
        <w:t>:</w:t>
      </w:r>
    </w:p>
    <w:p w14:paraId="06FF3356" w14:textId="77777777" w:rsidR="00631DCC" w:rsidRPr="00E52962" w:rsidRDefault="00631DCC" w:rsidP="00631DCC">
      <w:pPr>
        <w:pStyle w:val="Prrafodelista"/>
        <w:numPr>
          <w:ilvl w:val="0"/>
          <w:numId w:val="3"/>
        </w:numPr>
        <w:spacing w:line="276" w:lineRule="auto"/>
        <w:rPr>
          <w:lang w:val="es-ES"/>
        </w:rPr>
      </w:pPr>
      <w:r w:rsidRPr="00E52962">
        <w:rPr>
          <w:rFonts w:ascii="Arial" w:hAnsi="Arial" w:cs="Arial"/>
          <w:sz w:val="22"/>
          <w:szCs w:val="22"/>
          <w:lang w:val="es-ES"/>
        </w:rPr>
        <w:t>Los participantes aprenderán conceptos fundamentales sobre el conocimiento de la TD y la interfaz ciencia-política.</w:t>
      </w:r>
    </w:p>
    <w:p w14:paraId="07612750" w14:textId="77777777" w:rsidR="00631DCC" w:rsidRPr="00E52962" w:rsidRDefault="00631DCC" w:rsidP="00631DCC">
      <w:pPr>
        <w:pStyle w:val="Prrafodelista"/>
        <w:numPr>
          <w:ilvl w:val="0"/>
          <w:numId w:val="3"/>
        </w:numPr>
        <w:spacing w:line="276" w:lineRule="auto"/>
        <w:rPr>
          <w:lang w:val="es-ES"/>
        </w:rPr>
      </w:pPr>
      <w:r w:rsidRPr="00E52962">
        <w:rPr>
          <w:rFonts w:ascii="Arial" w:hAnsi="Arial" w:cs="Arial"/>
          <w:sz w:val="22"/>
          <w:szCs w:val="22"/>
          <w:lang w:val="es-ES"/>
        </w:rPr>
        <w:t>Los estudios de casos regionales ofrecerán ejemplos de buenas prácticas y lecciones aprendidas.</w:t>
      </w:r>
    </w:p>
    <w:p w14:paraId="352DDCF6" w14:textId="77777777" w:rsidR="00631DCC" w:rsidRPr="00E52962" w:rsidRDefault="00631DCC" w:rsidP="00631DCC">
      <w:pPr>
        <w:pStyle w:val="Prrafodelista"/>
        <w:numPr>
          <w:ilvl w:val="0"/>
          <w:numId w:val="3"/>
        </w:numPr>
        <w:spacing w:line="276" w:lineRule="auto"/>
        <w:rPr>
          <w:rFonts w:ascii="Arial" w:hAnsi="Arial" w:cs="Arial"/>
          <w:sz w:val="22"/>
          <w:szCs w:val="22"/>
          <w:lang w:val="es-ES"/>
        </w:rPr>
      </w:pPr>
      <w:r w:rsidRPr="00E52962">
        <w:rPr>
          <w:rFonts w:ascii="Arial" w:hAnsi="Arial" w:cs="Arial"/>
          <w:sz w:val="22"/>
          <w:szCs w:val="22"/>
          <w:lang w:val="es-ES"/>
        </w:rPr>
        <w:t>Los participantes adquirirán competencias en materia de comunicación científica para movilizar la investigación para la acción y facilitar el diálogo y la colaboración entre ciencia y política.</w:t>
      </w:r>
    </w:p>
    <w:p w14:paraId="3B82AC59" w14:textId="77777777" w:rsidR="00631DCC" w:rsidRPr="00E52962" w:rsidRDefault="00631DCC" w:rsidP="00631DCC">
      <w:pPr>
        <w:jc w:val="both"/>
        <w:rPr>
          <w:rFonts w:ascii="Arial" w:hAnsi="Arial" w:cs="Arial"/>
          <w:color w:val="000000" w:themeColor="text1"/>
          <w:sz w:val="22"/>
          <w:szCs w:val="22"/>
          <w:lang w:val="es-ES"/>
        </w:rPr>
      </w:pPr>
    </w:p>
    <w:p w14:paraId="1F1AAA26" w14:textId="77777777" w:rsidR="00631DCC" w:rsidRDefault="00631DCC" w:rsidP="00631DCC">
      <w:pPr>
        <w:spacing w:line="276" w:lineRule="auto"/>
        <w:rPr>
          <w:rFonts w:ascii="Arial" w:hAnsi="Arial" w:cs="Arial"/>
          <w:b/>
          <w:bCs/>
          <w:sz w:val="22"/>
          <w:szCs w:val="22"/>
        </w:rPr>
      </w:pPr>
      <w:proofErr w:type="spellStart"/>
      <w:r>
        <w:rPr>
          <w:rFonts w:ascii="Arial" w:hAnsi="Arial" w:cs="Arial"/>
          <w:b/>
          <w:bCs/>
          <w:sz w:val="22"/>
          <w:szCs w:val="22"/>
        </w:rPr>
        <w:t>Formato</w:t>
      </w:r>
      <w:proofErr w:type="spellEnd"/>
      <w:r>
        <w:rPr>
          <w:rFonts w:ascii="Arial" w:hAnsi="Arial" w:cs="Arial"/>
          <w:b/>
          <w:bCs/>
          <w:sz w:val="22"/>
          <w:szCs w:val="22"/>
        </w:rPr>
        <w:t>:</w:t>
      </w:r>
    </w:p>
    <w:p w14:paraId="5CFE4926" w14:textId="77777777" w:rsidR="00631DCC" w:rsidRPr="00E52962" w:rsidRDefault="00631DCC" w:rsidP="00631DCC">
      <w:pPr>
        <w:pStyle w:val="Prrafodelista"/>
        <w:numPr>
          <w:ilvl w:val="0"/>
          <w:numId w:val="4"/>
        </w:numPr>
        <w:spacing w:line="276" w:lineRule="auto"/>
        <w:rPr>
          <w:lang w:val="es-ES"/>
        </w:rPr>
      </w:pPr>
      <w:r w:rsidRPr="00E52962">
        <w:rPr>
          <w:rFonts w:ascii="Arial" w:hAnsi="Arial" w:cs="Arial"/>
          <w:sz w:val="22"/>
          <w:szCs w:val="22"/>
          <w:lang w:val="es-ES"/>
        </w:rPr>
        <w:t>Cada semana habrá dos sesiones de 90 minutos alojadas en Zoom: (1) las sesiones del martes se centrarán en el enfoque y las habilidades de TD con estudios de casos regionales sobre CEH; (2) las sesiones del jueves se centrarán en las habilidades de comunicación científica, dirigidas por formadores de Latinoamerica21.</w:t>
      </w:r>
    </w:p>
    <w:p w14:paraId="22490C60" w14:textId="77777777" w:rsidR="00631DCC" w:rsidRPr="00E52962" w:rsidRDefault="00631DCC" w:rsidP="00631DCC">
      <w:pPr>
        <w:pStyle w:val="Prrafodelista"/>
        <w:numPr>
          <w:ilvl w:val="0"/>
          <w:numId w:val="4"/>
        </w:numPr>
        <w:spacing w:line="276" w:lineRule="auto"/>
        <w:rPr>
          <w:rFonts w:ascii="Arial" w:hAnsi="Arial" w:cs="Arial"/>
          <w:sz w:val="22"/>
          <w:szCs w:val="22"/>
          <w:lang w:val="es-ES"/>
        </w:rPr>
      </w:pPr>
      <w:r w:rsidRPr="00E52962">
        <w:rPr>
          <w:rFonts w:ascii="Arial" w:hAnsi="Arial" w:cs="Arial"/>
          <w:sz w:val="22"/>
          <w:szCs w:val="22"/>
          <w:lang w:val="es-ES"/>
        </w:rPr>
        <w:t xml:space="preserve">Los ponentes podrán hacer sus presentaciones en español </w:t>
      </w:r>
      <w:r>
        <w:rPr>
          <w:rFonts w:ascii="Arial" w:hAnsi="Arial" w:cs="Arial"/>
          <w:sz w:val="22"/>
          <w:szCs w:val="22"/>
          <w:lang w:val="es-ES"/>
        </w:rPr>
        <w:t>o</w:t>
      </w:r>
      <w:r w:rsidRPr="00E52962">
        <w:rPr>
          <w:rFonts w:ascii="Arial" w:hAnsi="Arial" w:cs="Arial"/>
          <w:sz w:val="22"/>
          <w:szCs w:val="22"/>
          <w:lang w:val="es-ES"/>
        </w:rPr>
        <w:t xml:space="preserve"> inglés con interpretación disponible entre ambos idiomas.</w:t>
      </w:r>
    </w:p>
    <w:p w14:paraId="676C82FC" w14:textId="77777777" w:rsidR="00631DCC" w:rsidRPr="00E52962" w:rsidRDefault="00631DCC" w:rsidP="00631DCC">
      <w:pPr>
        <w:pStyle w:val="Prrafodelista"/>
        <w:numPr>
          <w:ilvl w:val="0"/>
          <w:numId w:val="4"/>
        </w:numPr>
        <w:spacing w:line="276" w:lineRule="auto"/>
        <w:rPr>
          <w:rFonts w:ascii="Arial" w:hAnsi="Arial" w:cs="Arial"/>
          <w:sz w:val="22"/>
          <w:szCs w:val="22"/>
          <w:lang w:val="es-ES"/>
        </w:rPr>
      </w:pPr>
      <w:r w:rsidRPr="00E52962">
        <w:rPr>
          <w:rFonts w:ascii="Arial" w:hAnsi="Arial" w:cs="Arial"/>
          <w:sz w:val="22"/>
          <w:szCs w:val="22"/>
          <w:lang w:val="es-ES"/>
        </w:rPr>
        <w:t>Las sesiones se grabarán y se publicarán en línea con el contenido del curso.</w:t>
      </w:r>
    </w:p>
    <w:p w14:paraId="48E9DBA8" w14:textId="77777777" w:rsidR="00631DCC" w:rsidRPr="00E52962" w:rsidRDefault="00631DCC" w:rsidP="00631DCC">
      <w:pPr>
        <w:pStyle w:val="Prrafodelista"/>
        <w:numPr>
          <w:ilvl w:val="0"/>
          <w:numId w:val="4"/>
        </w:numPr>
        <w:spacing w:line="276" w:lineRule="auto"/>
        <w:rPr>
          <w:rFonts w:ascii="Arial" w:hAnsi="Arial" w:cs="Arial"/>
          <w:sz w:val="22"/>
          <w:szCs w:val="22"/>
          <w:lang w:val="es-ES"/>
        </w:rPr>
      </w:pPr>
      <w:r w:rsidRPr="00E52962">
        <w:rPr>
          <w:rFonts w:ascii="Arial" w:hAnsi="Arial" w:cs="Arial"/>
          <w:sz w:val="22"/>
          <w:szCs w:val="22"/>
          <w:lang w:val="es-ES"/>
        </w:rPr>
        <w:t>Antes de cada sesión se compartirá material de lectura seleccionado.</w:t>
      </w:r>
    </w:p>
    <w:p w14:paraId="4E9C9B44" w14:textId="77777777" w:rsidR="00631DCC" w:rsidRPr="00E52962" w:rsidRDefault="00631DCC" w:rsidP="00631DCC">
      <w:pPr>
        <w:pStyle w:val="Prrafodelista"/>
        <w:numPr>
          <w:ilvl w:val="0"/>
          <w:numId w:val="4"/>
        </w:numPr>
        <w:spacing w:line="276" w:lineRule="auto"/>
        <w:rPr>
          <w:rFonts w:ascii="Arial" w:hAnsi="Arial" w:cs="Arial"/>
          <w:sz w:val="22"/>
          <w:szCs w:val="22"/>
          <w:lang w:val="es-ES"/>
        </w:rPr>
      </w:pPr>
      <w:r w:rsidRPr="00E52962">
        <w:rPr>
          <w:rFonts w:ascii="Arial" w:hAnsi="Arial" w:cs="Arial"/>
          <w:sz w:val="22"/>
          <w:szCs w:val="22"/>
          <w:lang w:val="es-ES"/>
        </w:rPr>
        <w:t xml:space="preserve">Se animará a los participantes a establecer redes y crear equipos de TD utilizando la red </w:t>
      </w:r>
      <w:proofErr w:type="spellStart"/>
      <w:r w:rsidRPr="00E52962">
        <w:rPr>
          <w:rFonts w:ascii="Arial" w:hAnsi="Arial" w:cs="Arial"/>
          <w:sz w:val="22"/>
          <w:szCs w:val="22"/>
          <w:lang w:val="es-ES"/>
        </w:rPr>
        <w:t>Climate</w:t>
      </w:r>
      <w:proofErr w:type="spellEnd"/>
      <w:r w:rsidRPr="00E52962">
        <w:rPr>
          <w:rFonts w:ascii="Arial" w:hAnsi="Arial" w:cs="Arial"/>
          <w:sz w:val="22"/>
          <w:szCs w:val="22"/>
          <w:lang w:val="es-ES"/>
        </w:rPr>
        <w:t xml:space="preserve"> &amp; </w:t>
      </w:r>
      <w:proofErr w:type="spellStart"/>
      <w:r w:rsidRPr="00E52962">
        <w:rPr>
          <w:rFonts w:ascii="Arial" w:hAnsi="Arial" w:cs="Arial"/>
          <w:sz w:val="22"/>
          <w:szCs w:val="22"/>
          <w:lang w:val="es-ES"/>
        </w:rPr>
        <w:t>Health</w:t>
      </w:r>
      <w:proofErr w:type="spellEnd"/>
      <w:r w:rsidRPr="00E52962">
        <w:rPr>
          <w:rFonts w:ascii="Arial" w:hAnsi="Arial" w:cs="Arial"/>
          <w:sz w:val="22"/>
          <w:szCs w:val="22"/>
          <w:lang w:val="es-ES"/>
        </w:rPr>
        <w:t xml:space="preserve"> </w:t>
      </w:r>
      <w:proofErr w:type="spellStart"/>
      <w:r w:rsidRPr="00E52962">
        <w:rPr>
          <w:rFonts w:ascii="Arial" w:hAnsi="Arial" w:cs="Arial"/>
          <w:sz w:val="22"/>
          <w:szCs w:val="22"/>
          <w:lang w:val="es-ES"/>
        </w:rPr>
        <w:t>Science</w:t>
      </w:r>
      <w:proofErr w:type="spellEnd"/>
      <w:r w:rsidRPr="00E52962">
        <w:rPr>
          <w:rFonts w:ascii="Arial" w:hAnsi="Arial" w:cs="Arial"/>
          <w:sz w:val="22"/>
          <w:szCs w:val="22"/>
          <w:lang w:val="es-ES"/>
        </w:rPr>
        <w:t xml:space="preserve"> to </w:t>
      </w:r>
      <w:proofErr w:type="spellStart"/>
      <w:r w:rsidRPr="00E52962">
        <w:rPr>
          <w:rFonts w:ascii="Arial" w:hAnsi="Arial" w:cs="Arial"/>
          <w:sz w:val="22"/>
          <w:szCs w:val="22"/>
          <w:lang w:val="es-ES"/>
        </w:rPr>
        <w:t>Practice</w:t>
      </w:r>
      <w:proofErr w:type="spellEnd"/>
      <w:r w:rsidRPr="00E52962">
        <w:rPr>
          <w:rFonts w:ascii="Arial" w:hAnsi="Arial" w:cs="Arial"/>
          <w:sz w:val="22"/>
          <w:szCs w:val="22"/>
          <w:lang w:val="es-ES"/>
        </w:rPr>
        <w:t xml:space="preserve">, una plataforma de redes virtuales. </w:t>
      </w:r>
    </w:p>
    <w:p w14:paraId="68FD545F" w14:textId="77777777" w:rsidR="00631DCC" w:rsidRPr="00E52962" w:rsidRDefault="00631DCC" w:rsidP="00631DCC">
      <w:pPr>
        <w:pStyle w:val="Prrafodelista"/>
        <w:numPr>
          <w:ilvl w:val="0"/>
          <w:numId w:val="4"/>
        </w:numPr>
        <w:spacing w:line="276" w:lineRule="auto"/>
        <w:rPr>
          <w:rFonts w:ascii="Arial" w:hAnsi="Arial" w:cs="Arial"/>
          <w:sz w:val="22"/>
          <w:szCs w:val="22"/>
          <w:lang w:val="es-ES"/>
        </w:rPr>
      </w:pPr>
      <w:r w:rsidRPr="00E52962">
        <w:rPr>
          <w:rFonts w:ascii="Arial" w:hAnsi="Arial" w:cs="Arial"/>
          <w:sz w:val="22"/>
          <w:szCs w:val="22"/>
          <w:lang w:val="es-ES"/>
        </w:rPr>
        <w:t xml:space="preserve">Los equipos contarán con el apoyo de mentores de TD, que se reunirán periódicamente con ellos para orientarles en el desarrollo de sus </w:t>
      </w:r>
      <w:proofErr w:type="spellStart"/>
      <w:r w:rsidRPr="00E52962">
        <w:rPr>
          <w:rFonts w:ascii="Arial" w:hAnsi="Arial" w:cs="Arial"/>
          <w:sz w:val="22"/>
          <w:szCs w:val="22"/>
          <w:lang w:val="es-ES"/>
        </w:rPr>
        <w:t>prepropuestas</w:t>
      </w:r>
      <w:proofErr w:type="spellEnd"/>
      <w:r w:rsidRPr="00E52962">
        <w:rPr>
          <w:rFonts w:ascii="Arial" w:hAnsi="Arial" w:cs="Arial"/>
          <w:sz w:val="22"/>
          <w:szCs w:val="22"/>
          <w:lang w:val="es-ES"/>
        </w:rPr>
        <w:t>.</w:t>
      </w:r>
    </w:p>
    <w:p w14:paraId="599AA417" w14:textId="77777777" w:rsidR="00631DCC" w:rsidRPr="00E52962" w:rsidRDefault="00631DCC" w:rsidP="00631DCC">
      <w:pPr>
        <w:pStyle w:val="Prrafodelista"/>
        <w:numPr>
          <w:ilvl w:val="0"/>
          <w:numId w:val="4"/>
        </w:numPr>
        <w:spacing w:line="276" w:lineRule="auto"/>
        <w:rPr>
          <w:rFonts w:ascii="Arial" w:hAnsi="Arial" w:cs="Arial"/>
          <w:sz w:val="22"/>
          <w:szCs w:val="22"/>
          <w:lang w:val="es-ES"/>
        </w:rPr>
      </w:pPr>
      <w:r w:rsidRPr="00E52962">
        <w:rPr>
          <w:rFonts w:ascii="Arial" w:hAnsi="Arial" w:cs="Arial"/>
          <w:sz w:val="22"/>
          <w:szCs w:val="22"/>
          <w:lang w:val="es-ES"/>
        </w:rPr>
        <w:t xml:space="preserve">Se espera que los participantes desarrollen una </w:t>
      </w:r>
      <w:proofErr w:type="spellStart"/>
      <w:r w:rsidRPr="00E52962">
        <w:rPr>
          <w:rFonts w:ascii="Arial" w:hAnsi="Arial" w:cs="Arial"/>
          <w:sz w:val="22"/>
          <w:szCs w:val="22"/>
          <w:lang w:val="es-ES"/>
        </w:rPr>
        <w:t>prepropuesta</w:t>
      </w:r>
      <w:proofErr w:type="spellEnd"/>
      <w:r w:rsidRPr="00E52962">
        <w:rPr>
          <w:rFonts w:ascii="Arial" w:hAnsi="Arial" w:cs="Arial"/>
          <w:sz w:val="22"/>
          <w:szCs w:val="22"/>
          <w:lang w:val="es-ES"/>
        </w:rPr>
        <w:t xml:space="preserve"> de TD CEH durante la Fase 1, que se presentará al finalizar la Fase 1 para pasar a la Fase 2. Al menos el 50% de los miembros del equipo deberán participar en el 70% de las sesiones virtuales para que el equipo sea considerado para la Fase 2.</w:t>
      </w:r>
    </w:p>
    <w:p w14:paraId="1C95EF8F" w14:textId="77777777" w:rsidR="00631DCC" w:rsidRPr="00E52962" w:rsidRDefault="00631DCC" w:rsidP="00631DCC">
      <w:pPr>
        <w:pStyle w:val="Prrafodelista"/>
        <w:numPr>
          <w:ilvl w:val="0"/>
          <w:numId w:val="4"/>
        </w:numPr>
        <w:spacing w:line="276" w:lineRule="auto"/>
        <w:rPr>
          <w:rFonts w:ascii="Arial" w:hAnsi="Arial" w:cs="Arial"/>
          <w:sz w:val="22"/>
          <w:szCs w:val="22"/>
          <w:lang w:val="es-ES"/>
        </w:rPr>
      </w:pPr>
      <w:r w:rsidRPr="00E52962">
        <w:rPr>
          <w:rFonts w:ascii="Arial" w:hAnsi="Arial" w:cs="Arial"/>
          <w:sz w:val="22"/>
          <w:szCs w:val="22"/>
          <w:lang w:val="es-ES"/>
        </w:rPr>
        <w:lastRenderedPageBreak/>
        <w:t xml:space="preserve">Las ideas de investigación deben estar claramente vinculadas a las políticas o programas del sector de la salud pública, es decir la </w:t>
      </w:r>
      <w:proofErr w:type="spellStart"/>
      <w:r w:rsidRPr="00E52962">
        <w:rPr>
          <w:rFonts w:ascii="Arial" w:hAnsi="Arial" w:cs="Arial"/>
          <w:sz w:val="22"/>
          <w:szCs w:val="22"/>
          <w:lang w:val="es-ES"/>
        </w:rPr>
        <w:t>cocreación</w:t>
      </w:r>
      <w:proofErr w:type="spellEnd"/>
      <w:r w:rsidRPr="00E52962">
        <w:rPr>
          <w:rFonts w:ascii="Arial" w:hAnsi="Arial" w:cs="Arial"/>
          <w:sz w:val="22"/>
          <w:szCs w:val="22"/>
          <w:lang w:val="es-ES"/>
        </w:rPr>
        <w:t xml:space="preserve"> de servicios climáticos para el sector sanitario, estrategias para cerrar la brecha entre la ciencia y la política (investigación de aplicación), la mejora de las prácticas/programas clínicos y de salud pública relacionados con los impactos climáticos, mapas/evaluaciones de vulnerabilidad al clima y la contaminación relacionados con enfermedades crónicas o emergentes, herramientas que utilicen la información climática para la vigilancia y los observatorios de la salud, estudios de viabilidad relacionados con las estrategias de adaptación clima-ambiente-salud, </w:t>
      </w:r>
      <w:proofErr w:type="spellStart"/>
      <w:r w:rsidRPr="00E52962">
        <w:rPr>
          <w:rFonts w:ascii="Arial" w:hAnsi="Arial" w:cs="Arial"/>
          <w:sz w:val="22"/>
          <w:szCs w:val="22"/>
          <w:lang w:val="es-ES"/>
        </w:rPr>
        <w:t>cobeneficios</w:t>
      </w:r>
      <w:proofErr w:type="spellEnd"/>
      <w:r w:rsidRPr="00E52962">
        <w:rPr>
          <w:rFonts w:ascii="Arial" w:hAnsi="Arial" w:cs="Arial"/>
          <w:sz w:val="22"/>
          <w:szCs w:val="22"/>
          <w:lang w:val="es-ES"/>
        </w:rPr>
        <w:t xml:space="preserve"> para la salud de las estrategias de adaptación y mitigación, sistemas de alerta temprana y planes de reducción de riesgos climáticos y de adaptación nacional desde una perspectiva de salud pública.</w:t>
      </w:r>
    </w:p>
    <w:p w14:paraId="3F13F553" w14:textId="77777777" w:rsidR="00631DCC" w:rsidRPr="00E52962" w:rsidRDefault="00631DCC" w:rsidP="00631DCC">
      <w:pPr>
        <w:jc w:val="both"/>
        <w:rPr>
          <w:rFonts w:ascii="Arial" w:hAnsi="Arial" w:cs="Arial"/>
          <w:color w:val="000000" w:themeColor="text1"/>
          <w:sz w:val="22"/>
          <w:szCs w:val="22"/>
          <w:lang w:val="es-ES"/>
        </w:rPr>
      </w:pPr>
    </w:p>
    <w:p w14:paraId="7BB749B7" w14:textId="77777777" w:rsidR="00631DCC" w:rsidRDefault="00631DCC" w:rsidP="00631DCC">
      <w:pPr>
        <w:pStyle w:val="Ttulo2"/>
      </w:pPr>
      <w:proofErr w:type="spellStart"/>
      <w:r w:rsidRPr="009A1B1B">
        <w:t>Programa</w:t>
      </w:r>
      <w:proofErr w:type="spellEnd"/>
      <w:r w:rsidRPr="009A1B1B">
        <w:t xml:space="preserve"> de </w:t>
      </w:r>
      <w:proofErr w:type="spellStart"/>
      <w:r w:rsidRPr="009A1B1B">
        <w:t>estudios</w:t>
      </w:r>
      <w:proofErr w:type="spellEnd"/>
    </w:p>
    <w:p w14:paraId="4193E625" w14:textId="77777777" w:rsidR="00631DCC" w:rsidRDefault="00631DCC" w:rsidP="00631DCC">
      <w:pPr>
        <w:rPr>
          <w:rFonts w:ascii="Arial" w:hAnsi="Arial" w:cs="Arial"/>
          <w:b/>
          <w:bCs/>
          <w:sz w:val="22"/>
          <w:szCs w:val="22"/>
        </w:rPr>
      </w:pPr>
      <w:proofErr w:type="spellStart"/>
      <w:r>
        <w:rPr>
          <w:rFonts w:ascii="Arial" w:hAnsi="Arial" w:cs="Arial"/>
          <w:b/>
          <w:bCs/>
          <w:sz w:val="22"/>
          <w:szCs w:val="22"/>
        </w:rPr>
        <w:t>Semana</w:t>
      </w:r>
      <w:proofErr w:type="spellEnd"/>
      <w:r>
        <w:rPr>
          <w:rFonts w:ascii="Arial" w:hAnsi="Arial" w:cs="Arial"/>
          <w:b/>
          <w:bCs/>
          <w:sz w:val="22"/>
          <w:szCs w:val="22"/>
        </w:rPr>
        <w:t xml:space="preserve"> 1</w:t>
      </w:r>
    </w:p>
    <w:p w14:paraId="61F0EC3C" w14:textId="77777777" w:rsidR="00631DCC" w:rsidRPr="00E52962" w:rsidRDefault="00631DCC" w:rsidP="00631DCC">
      <w:pPr>
        <w:numPr>
          <w:ilvl w:val="0"/>
          <w:numId w:val="2"/>
        </w:numPr>
        <w:spacing w:line="276" w:lineRule="auto"/>
        <w:rPr>
          <w:rFonts w:ascii="Arial" w:hAnsi="Arial" w:cs="Arial"/>
          <w:sz w:val="22"/>
          <w:szCs w:val="22"/>
          <w:lang w:val="es-ES"/>
        </w:rPr>
      </w:pPr>
      <w:r w:rsidRPr="00E52962">
        <w:rPr>
          <w:rFonts w:ascii="Arial" w:hAnsi="Arial" w:cs="Arial"/>
          <w:sz w:val="22"/>
          <w:szCs w:val="22"/>
          <w:lang w:val="es-ES"/>
        </w:rPr>
        <w:t xml:space="preserve">Historia, definiciones, teoría y debates actuales en TD con Lily </w:t>
      </w:r>
      <w:proofErr w:type="spellStart"/>
      <w:r w:rsidRPr="00E52962">
        <w:rPr>
          <w:rFonts w:ascii="Arial" w:hAnsi="Arial" w:cs="Arial"/>
          <w:sz w:val="22"/>
          <w:szCs w:val="22"/>
          <w:lang w:val="es-ES"/>
        </w:rPr>
        <w:t>House</w:t>
      </w:r>
      <w:proofErr w:type="spellEnd"/>
      <w:r w:rsidRPr="00E52962">
        <w:rPr>
          <w:rFonts w:ascii="Arial" w:hAnsi="Arial" w:cs="Arial"/>
          <w:sz w:val="22"/>
          <w:szCs w:val="22"/>
          <w:lang w:val="es-ES"/>
        </w:rPr>
        <w:t xml:space="preserve"> </w:t>
      </w:r>
      <w:proofErr w:type="spellStart"/>
      <w:r w:rsidRPr="00E52962">
        <w:rPr>
          <w:rFonts w:ascii="Arial" w:hAnsi="Arial" w:cs="Arial"/>
          <w:sz w:val="22"/>
          <w:szCs w:val="22"/>
          <w:lang w:val="es-ES"/>
        </w:rPr>
        <w:t>Peters</w:t>
      </w:r>
      <w:proofErr w:type="spellEnd"/>
      <w:r w:rsidRPr="00E52962">
        <w:rPr>
          <w:rFonts w:ascii="Arial" w:hAnsi="Arial" w:cs="Arial"/>
          <w:sz w:val="22"/>
          <w:szCs w:val="22"/>
          <w:lang w:val="es-ES"/>
        </w:rPr>
        <w:t xml:space="preserve"> y Gabriela Alonso</w:t>
      </w:r>
    </w:p>
    <w:p w14:paraId="72A3AEFB" w14:textId="77777777" w:rsidR="00631DCC" w:rsidRDefault="00631DCC" w:rsidP="00631DCC">
      <w:pPr>
        <w:numPr>
          <w:ilvl w:val="1"/>
          <w:numId w:val="2"/>
        </w:numPr>
        <w:spacing w:line="276" w:lineRule="auto"/>
        <w:rPr>
          <w:rFonts w:ascii="Arial" w:hAnsi="Arial" w:cs="Arial"/>
          <w:sz w:val="22"/>
          <w:szCs w:val="22"/>
        </w:rPr>
      </w:pPr>
      <w:proofErr w:type="spellStart"/>
      <w:r>
        <w:rPr>
          <w:rFonts w:ascii="Arial" w:hAnsi="Arial" w:cs="Arial"/>
          <w:sz w:val="22"/>
          <w:szCs w:val="22"/>
        </w:rPr>
        <w:t>Distinciones</w:t>
      </w:r>
      <w:proofErr w:type="spellEnd"/>
      <w:r>
        <w:rPr>
          <w:rFonts w:ascii="Arial" w:hAnsi="Arial" w:cs="Arial"/>
          <w:sz w:val="22"/>
          <w:szCs w:val="22"/>
        </w:rPr>
        <w:t xml:space="preserve"> multi, inter, </w:t>
      </w:r>
      <w:proofErr w:type="spellStart"/>
      <w:r>
        <w:rPr>
          <w:rFonts w:ascii="Arial" w:hAnsi="Arial" w:cs="Arial"/>
          <w:sz w:val="22"/>
          <w:szCs w:val="22"/>
        </w:rPr>
        <w:t>transdisciplinarias</w:t>
      </w:r>
      <w:proofErr w:type="spellEnd"/>
    </w:p>
    <w:p w14:paraId="0C7CD6B0" w14:textId="77777777" w:rsidR="00631DCC" w:rsidRDefault="00631DCC" w:rsidP="00631DCC">
      <w:pPr>
        <w:numPr>
          <w:ilvl w:val="1"/>
          <w:numId w:val="2"/>
        </w:numPr>
        <w:spacing w:line="276" w:lineRule="auto"/>
        <w:rPr>
          <w:rFonts w:ascii="Arial" w:hAnsi="Arial" w:cs="Arial"/>
          <w:sz w:val="22"/>
          <w:szCs w:val="22"/>
        </w:rPr>
      </w:pPr>
      <w:proofErr w:type="spellStart"/>
      <w:r>
        <w:rPr>
          <w:rFonts w:ascii="Arial" w:hAnsi="Arial" w:cs="Arial"/>
          <w:sz w:val="22"/>
          <w:szCs w:val="22"/>
        </w:rPr>
        <w:t>Ciencia</w:t>
      </w:r>
      <w:proofErr w:type="spellEnd"/>
      <w:r>
        <w:rPr>
          <w:rFonts w:ascii="Arial" w:hAnsi="Arial" w:cs="Arial"/>
          <w:sz w:val="22"/>
          <w:szCs w:val="22"/>
        </w:rPr>
        <w:t xml:space="preserve"> de la </w:t>
      </w:r>
      <w:proofErr w:type="spellStart"/>
      <w:r>
        <w:rPr>
          <w:rFonts w:ascii="Arial" w:hAnsi="Arial" w:cs="Arial"/>
          <w:sz w:val="22"/>
          <w:szCs w:val="22"/>
        </w:rPr>
        <w:t>convergencia</w:t>
      </w:r>
      <w:proofErr w:type="spellEnd"/>
    </w:p>
    <w:p w14:paraId="2C44C906" w14:textId="77777777" w:rsidR="00631DCC" w:rsidRPr="00E52962" w:rsidRDefault="00631DCC" w:rsidP="00631DCC">
      <w:pPr>
        <w:numPr>
          <w:ilvl w:val="0"/>
          <w:numId w:val="2"/>
        </w:numPr>
        <w:spacing w:line="276" w:lineRule="auto"/>
        <w:rPr>
          <w:rFonts w:ascii="Arial" w:hAnsi="Arial" w:cs="Arial"/>
          <w:sz w:val="22"/>
          <w:szCs w:val="22"/>
          <w:lang w:val="es-ES"/>
        </w:rPr>
      </w:pPr>
      <w:r w:rsidRPr="00E52962">
        <w:rPr>
          <w:rFonts w:ascii="Arial" w:hAnsi="Arial" w:cs="Arial"/>
          <w:sz w:val="22"/>
          <w:szCs w:val="22"/>
          <w:lang w:val="es-ES"/>
        </w:rPr>
        <w:t xml:space="preserve">Clase magistral: Desafíos y soluciones para la comunicación científica - con Juan Manuel </w:t>
      </w:r>
      <w:proofErr w:type="spellStart"/>
      <w:r w:rsidRPr="00E52962">
        <w:rPr>
          <w:rFonts w:ascii="Arial" w:hAnsi="Arial" w:cs="Arial"/>
          <w:sz w:val="22"/>
          <w:szCs w:val="22"/>
          <w:lang w:val="es-ES"/>
        </w:rPr>
        <w:t>Sarasua</w:t>
      </w:r>
      <w:proofErr w:type="spellEnd"/>
      <w:r w:rsidRPr="00E52962">
        <w:rPr>
          <w:rFonts w:ascii="Arial" w:hAnsi="Arial" w:cs="Arial"/>
          <w:sz w:val="22"/>
          <w:szCs w:val="22"/>
          <w:lang w:val="es-ES"/>
        </w:rPr>
        <w:t>, biólogo, periodista y comunicador científico de Colombia</w:t>
      </w:r>
    </w:p>
    <w:p w14:paraId="65E0AFAA" w14:textId="77777777" w:rsidR="00631DCC" w:rsidRDefault="00631DCC" w:rsidP="00631DCC">
      <w:pPr>
        <w:spacing w:before="120" w:line="276" w:lineRule="auto"/>
        <w:rPr>
          <w:rFonts w:ascii="Arial" w:hAnsi="Arial" w:cs="Arial"/>
          <w:b/>
          <w:bCs/>
          <w:sz w:val="22"/>
          <w:szCs w:val="22"/>
        </w:rPr>
      </w:pPr>
      <w:proofErr w:type="spellStart"/>
      <w:r>
        <w:rPr>
          <w:rFonts w:ascii="Arial" w:hAnsi="Arial" w:cs="Arial"/>
          <w:b/>
          <w:bCs/>
          <w:sz w:val="22"/>
          <w:szCs w:val="22"/>
        </w:rPr>
        <w:t>Semana</w:t>
      </w:r>
      <w:proofErr w:type="spellEnd"/>
      <w:r>
        <w:rPr>
          <w:rFonts w:ascii="Arial" w:hAnsi="Arial" w:cs="Arial"/>
          <w:b/>
          <w:bCs/>
          <w:sz w:val="22"/>
          <w:szCs w:val="22"/>
        </w:rPr>
        <w:t xml:space="preserve"> 2</w:t>
      </w:r>
    </w:p>
    <w:p w14:paraId="77BFE758" w14:textId="77777777" w:rsidR="00631DCC" w:rsidRPr="00E52962" w:rsidRDefault="00631DCC" w:rsidP="00631DCC">
      <w:pPr>
        <w:numPr>
          <w:ilvl w:val="0"/>
          <w:numId w:val="2"/>
        </w:numPr>
        <w:spacing w:line="276" w:lineRule="auto"/>
        <w:rPr>
          <w:rFonts w:ascii="Arial" w:hAnsi="Arial" w:cs="Arial"/>
          <w:sz w:val="22"/>
          <w:szCs w:val="22"/>
          <w:lang w:val="es-ES"/>
        </w:rPr>
      </w:pPr>
      <w:r w:rsidRPr="00E52962">
        <w:rPr>
          <w:rFonts w:ascii="Arial" w:hAnsi="Arial" w:cs="Arial"/>
          <w:sz w:val="22"/>
          <w:szCs w:val="22"/>
          <w:lang w:val="es-ES"/>
        </w:rPr>
        <w:t xml:space="preserve">Coproducción e integración de conocimientos entre diversos actores con Lily </w:t>
      </w:r>
      <w:proofErr w:type="spellStart"/>
      <w:r w:rsidRPr="00E52962">
        <w:rPr>
          <w:rFonts w:ascii="Arial" w:hAnsi="Arial" w:cs="Arial"/>
          <w:sz w:val="22"/>
          <w:szCs w:val="22"/>
          <w:lang w:val="es-ES"/>
        </w:rPr>
        <w:t>House</w:t>
      </w:r>
      <w:proofErr w:type="spellEnd"/>
      <w:r w:rsidRPr="00E52962">
        <w:rPr>
          <w:rFonts w:ascii="Arial" w:hAnsi="Arial" w:cs="Arial"/>
          <w:sz w:val="22"/>
          <w:szCs w:val="22"/>
          <w:lang w:val="es-ES"/>
        </w:rPr>
        <w:t xml:space="preserve"> </w:t>
      </w:r>
      <w:proofErr w:type="spellStart"/>
      <w:r w:rsidRPr="00E52962">
        <w:rPr>
          <w:rFonts w:ascii="Arial" w:hAnsi="Arial" w:cs="Arial"/>
          <w:sz w:val="22"/>
          <w:szCs w:val="22"/>
          <w:lang w:val="es-ES"/>
        </w:rPr>
        <w:t>Peters</w:t>
      </w:r>
      <w:proofErr w:type="spellEnd"/>
      <w:r w:rsidRPr="00E52962">
        <w:rPr>
          <w:rFonts w:ascii="Arial" w:hAnsi="Arial" w:cs="Arial"/>
          <w:sz w:val="22"/>
          <w:szCs w:val="22"/>
          <w:lang w:val="es-ES"/>
        </w:rPr>
        <w:t xml:space="preserve"> y Gabriela Alonso</w:t>
      </w:r>
    </w:p>
    <w:p w14:paraId="181B0BF7" w14:textId="77777777" w:rsidR="00631DCC" w:rsidRDefault="00631DCC" w:rsidP="00631DCC">
      <w:pPr>
        <w:numPr>
          <w:ilvl w:val="1"/>
          <w:numId w:val="2"/>
        </w:numPr>
        <w:spacing w:line="276" w:lineRule="auto"/>
        <w:rPr>
          <w:rFonts w:ascii="Arial" w:hAnsi="Arial" w:cs="Arial"/>
          <w:sz w:val="22"/>
          <w:szCs w:val="22"/>
        </w:rPr>
      </w:pPr>
      <w:proofErr w:type="spellStart"/>
      <w:r>
        <w:rPr>
          <w:rFonts w:ascii="Arial" w:hAnsi="Arial" w:cs="Arial"/>
          <w:sz w:val="22"/>
          <w:szCs w:val="22"/>
        </w:rPr>
        <w:t>Objetos</w:t>
      </w:r>
      <w:proofErr w:type="spellEnd"/>
      <w:r>
        <w:rPr>
          <w:rFonts w:ascii="Arial" w:hAnsi="Arial" w:cs="Arial"/>
          <w:sz w:val="22"/>
          <w:szCs w:val="22"/>
        </w:rPr>
        <w:t xml:space="preserve"> </w:t>
      </w:r>
      <w:proofErr w:type="spellStart"/>
      <w:r>
        <w:rPr>
          <w:rFonts w:ascii="Arial" w:hAnsi="Arial" w:cs="Arial"/>
          <w:sz w:val="22"/>
          <w:szCs w:val="22"/>
        </w:rPr>
        <w:t>límite</w:t>
      </w:r>
      <w:proofErr w:type="spellEnd"/>
    </w:p>
    <w:p w14:paraId="60A6B2E8" w14:textId="77777777" w:rsidR="00631DCC" w:rsidRPr="00E52962" w:rsidRDefault="00631DCC" w:rsidP="00631DCC">
      <w:pPr>
        <w:numPr>
          <w:ilvl w:val="0"/>
          <w:numId w:val="2"/>
        </w:numPr>
        <w:spacing w:line="276" w:lineRule="auto"/>
        <w:rPr>
          <w:lang w:val="es-ES"/>
        </w:rPr>
      </w:pPr>
      <w:r w:rsidRPr="00E52962">
        <w:rPr>
          <w:rFonts w:ascii="Arial" w:hAnsi="Arial" w:cs="Arial"/>
          <w:sz w:val="22"/>
          <w:szCs w:val="22"/>
          <w:lang w:val="es-ES"/>
        </w:rPr>
        <w:t xml:space="preserve">Taller: Cómo explicar la ciencia a un público amplio - con Ana </w:t>
      </w:r>
      <w:proofErr w:type="spellStart"/>
      <w:r w:rsidRPr="00E52962">
        <w:rPr>
          <w:rFonts w:ascii="Arial" w:hAnsi="Arial" w:cs="Arial"/>
          <w:sz w:val="22"/>
          <w:szCs w:val="22"/>
          <w:lang w:val="es-ES"/>
        </w:rPr>
        <w:t>Pai</w:t>
      </w:r>
      <w:proofErr w:type="spellEnd"/>
      <w:r w:rsidRPr="00E52962">
        <w:rPr>
          <w:rFonts w:ascii="Arial" w:hAnsi="Arial" w:cs="Arial"/>
          <w:sz w:val="22"/>
          <w:szCs w:val="22"/>
          <w:lang w:val="es-ES"/>
        </w:rPr>
        <w:t>, periodista de Radio Ambulante especializada en periodismo científico</w:t>
      </w:r>
    </w:p>
    <w:p w14:paraId="762A669D" w14:textId="77777777" w:rsidR="00631DCC" w:rsidRDefault="00631DCC" w:rsidP="00631DCC">
      <w:pPr>
        <w:spacing w:before="120" w:line="276" w:lineRule="auto"/>
        <w:rPr>
          <w:rFonts w:ascii="Arial" w:hAnsi="Arial" w:cs="Arial"/>
          <w:b/>
          <w:bCs/>
          <w:sz w:val="22"/>
          <w:szCs w:val="22"/>
        </w:rPr>
      </w:pPr>
      <w:proofErr w:type="spellStart"/>
      <w:r>
        <w:rPr>
          <w:rFonts w:ascii="Arial" w:hAnsi="Arial" w:cs="Arial"/>
          <w:b/>
          <w:bCs/>
          <w:sz w:val="22"/>
          <w:szCs w:val="22"/>
        </w:rPr>
        <w:t>Semana</w:t>
      </w:r>
      <w:proofErr w:type="spellEnd"/>
      <w:r>
        <w:rPr>
          <w:rFonts w:ascii="Arial" w:hAnsi="Arial" w:cs="Arial"/>
          <w:b/>
          <w:bCs/>
          <w:sz w:val="22"/>
          <w:szCs w:val="22"/>
        </w:rPr>
        <w:t xml:space="preserve"> 3</w:t>
      </w:r>
    </w:p>
    <w:p w14:paraId="53AF8A4C" w14:textId="77777777" w:rsidR="00631DCC" w:rsidRPr="00E52962" w:rsidRDefault="00631DCC" w:rsidP="00631DCC">
      <w:pPr>
        <w:pStyle w:val="Prrafodelista"/>
        <w:numPr>
          <w:ilvl w:val="0"/>
          <w:numId w:val="2"/>
        </w:numPr>
        <w:spacing w:before="120" w:line="276" w:lineRule="auto"/>
        <w:rPr>
          <w:lang w:val="es-ES"/>
        </w:rPr>
      </w:pPr>
      <w:proofErr w:type="spellStart"/>
      <w:r w:rsidRPr="00E52962">
        <w:rPr>
          <w:rFonts w:ascii="Arial" w:hAnsi="Arial" w:cs="Arial"/>
          <w:sz w:val="22"/>
          <w:szCs w:val="22"/>
          <w:lang w:val="es-ES"/>
        </w:rPr>
        <w:t>Check</w:t>
      </w:r>
      <w:proofErr w:type="spellEnd"/>
      <w:r w:rsidRPr="00E52962">
        <w:rPr>
          <w:rFonts w:ascii="Arial" w:hAnsi="Arial" w:cs="Arial"/>
          <w:sz w:val="22"/>
          <w:szCs w:val="22"/>
          <w:lang w:val="es-ES"/>
        </w:rPr>
        <w:t>-in #1: actualizaciones sobre el progreso de la propuesta y posibles desafíos.</w:t>
      </w:r>
    </w:p>
    <w:p w14:paraId="105969CB" w14:textId="77777777" w:rsidR="00631DCC" w:rsidRDefault="00631DCC" w:rsidP="00631DCC">
      <w:pPr>
        <w:spacing w:before="120" w:line="276" w:lineRule="auto"/>
        <w:rPr>
          <w:rFonts w:ascii="Arial" w:hAnsi="Arial" w:cs="Arial"/>
          <w:b/>
          <w:bCs/>
          <w:sz w:val="22"/>
          <w:szCs w:val="22"/>
        </w:rPr>
      </w:pPr>
      <w:proofErr w:type="spellStart"/>
      <w:r>
        <w:rPr>
          <w:rFonts w:ascii="Arial" w:hAnsi="Arial" w:cs="Arial"/>
          <w:b/>
          <w:bCs/>
          <w:sz w:val="22"/>
          <w:szCs w:val="22"/>
        </w:rPr>
        <w:t>Semana</w:t>
      </w:r>
      <w:proofErr w:type="spellEnd"/>
      <w:r>
        <w:rPr>
          <w:rFonts w:ascii="Arial" w:hAnsi="Arial" w:cs="Arial"/>
          <w:b/>
          <w:bCs/>
          <w:sz w:val="22"/>
          <w:szCs w:val="22"/>
        </w:rPr>
        <w:t xml:space="preserve"> 4</w:t>
      </w:r>
    </w:p>
    <w:p w14:paraId="513C3E9A" w14:textId="77777777" w:rsidR="00631DCC" w:rsidRPr="00E52962" w:rsidRDefault="00631DCC" w:rsidP="00631DCC">
      <w:pPr>
        <w:numPr>
          <w:ilvl w:val="0"/>
          <w:numId w:val="2"/>
        </w:numPr>
        <w:spacing w:line="276" w:lineRule="auto"/>
        <w:rPr>
          <w:rFonts w:ascii="Arial" w:hAnsi="Arial" w:cs="Arial"/>
          <w:sz w:val="22"/>
          <w:szCs w:val="22"/>
          <w:lang w:val="es-ES"/>
        </w:rPr>
      </w:pPr>
      <w:r w:rsidRPr="00E52962">
        <w:rPr>
          <w:rFonts w:ascii="Arial" w:hAnsi="Arial" w:cs="Arial"/>
          <w:sz w:val="22"/>
          <w:szCs w:val="22"/>
          <w:lang w:val="es-ES"/>
        </w:rPr>
        <w:t xml:space="preserve">La política y la ética de la investigación en TD para GEC con Lily </w:t>
      </w:r>
      <w:proofErr w:type="spellStart"/>
      <w:r w:rsidRPr="00E52962">
        <w:rPr>
          <w:rFonts w:ascii="Arial" w:hAnsi="Arial" w:cs="Arial"/>
          <w:sz w:val="22"/>
          <w:szCs w:val="22"/>
          <w:lang w:val="es-ES"/>
        </w:rPr>
        <w:t>House</w:t>
      </w:r>
      <w:proofErr w:type="spellEnd"/>
      <w:r w:rsidRPr="00E52962">
        <w:rPr>
          <w:rFonts w:ascii="Arial" w:hAnsi="Arial" w:cs="Arial"/>
          <w:sz w:val="22"/>
          <w:szCs w:val="22"/>
          <w:lang w:val="es-ES"/>
        </w:rPr>
        <w:t xml:space="preserve"> </w:t>
      </w:r>
      <w:proofErr w:type="spellStart"/>
      <w:r w:rsidRPr="00E52962">
        <w:rPr>
          <w:rFonts w:ascii="Arial" w:hAnsi="Arial" w:cs="Arial"/>
          <w:sz w:val="22"/>
          <w:szCs w:val="22"/>
          <w:lang w:val="es-ES"/>
        </w:rPr>
        <w:t>Peters</w:t>
      </w:r>
      <w:proofErr w:type="spellEnd"/>
      <w:r w:rsidRPr="00E52962">
        <w:rPr>
          <w:rFonts w:ascii="Arial" w:hAnsi="Arial" w:cs="Arial"/>
          <w:sz w:val="22"/>
          <w:szCs w:val="22"/>
          <w:lang w:val="es-ES"/>
        </w:rPr>
        <w:t xml:space="preserve"> y Gabriela Alonso</w:t>
      </w:r>
    </w:p>
    <w:p w14:paraId="0F3A7A15" w14:textId="77777777" w:rsidR="00631DCC" w:rsidRPr="00E52962" w:rsidRDefault="00631DCC" w:rsidP="00631DCC">
      <w:pPr>
        <w:numPr>
          <w:ilvl w:val="1"/>
          <w:numId w:val="2"/>
        </w:numPr>
        <w:spacing w:line="276" w:lineRule="auto"/>
        <w:rPr>
          <w:rFonts w:ascii="Arial" w:hAnsi="Arial" w:cs="Arial"/>
          <w:sz w:val="22"/>
          <w:szCs w:val="22"/>
          <w:lang w:val="es-ES"/>
        </w:rPr>
      </w:pPr>
      <w:r w:rsidRPr="00E52962">
        <w:rPr>
          <w:rFonts w:ascii="Arial" w:hAnsi="Arial" w:cs="Arial"/>
          <w:sz w:val="22"/>
          <w:szCs w:val="22"/>
          <w:lang w:val="es-ES"/>
        </w:rPr>
        <w:t>Equidad de los actores y descentralización de la academia</w:t>
      </w:r>
    </w:p>
    <w:p w14:paraId="516A2CD4" w14:textId="77777777" w:rsidR="00631DCC" w:rsidRPr="00E52962" w:rsidRDefault="00631DCC" w:rsidP="00631DCC">
      <w:pPr>
        <w:numPr>
          <w:ilvl w:val="1"/>
          <w:numId w:val="2"/>
        </w:numPr>
        <w:spacing w:line="276" w:lineRule="auto"/>
        <w:rPr>
          <w:rFonts w:ascii="Arial" w:hAnsi="Arial" w:cs="Arial"/>
          <w:sz w:val="22"/>
          <w:szCs w:val="22"/>
          <w:lang w:val="es-ES"/>
        </w:rPr>
      </w:pPr>
      <w:r w:rsidRPr="00E52962">
        <w:rPr>
          <w:rFonts w:ascii="Arial" w:hAnsi="Arial" w:cs="Arial"/>
          <w:sz w:val="22"/>
          <w:szCs w:val="22"/>
          <w:lang w:val="es-ES"/>
        </w:rPr>
        <w:t>Aprendizaje social y trabajo en equipo de TD</w:t>
      </w:r>
    </w:p>
    <w:p w14:paraId="71469981" w14:textId="77777777" w:rsidR="00631DCC" w:rsidRPr="00E52962" w:rsidRDefault="00631DCC" w:rsidP="00631DCC">
      <w:pPr>
        <w:numPr>
          <w:ilvl w:val="0"/>
          <w:numId w:val="2"/>
        </w:numPr>
        <w:spacing w:line="276" w:lineRule="auto"/>
        <w:rPr>
          <w:rFonts w:ascii="Arial" w:hAnsi="Arial" w:cs="Arial"/>
          <w:sz w:val="22"/>
          <w:szCs w:val="22"/>
          <w:lang w:val="es-ES"/>
        </w:rPr>
      </w:pPr>
      <w:r w:rsidRPr="00E52962">
        <w:rPr>
          <w:rFonts w:ascii="Arial" w:hAnsi="Arial" w:cs="Arial"/>
          <w:sz w:val="22"/>
          <w:szCs w:val="22"/>
          <w:lang w:val="es-ES"/>
        </w:rPr>
        <w:t xml:space="preserve">Taller: Contando historias a través de los datos - TBC con Marcelo </w:t>
      </w:r>
      <w:proofErr w:type="spellStart"/>
      <w:r w:rsidRPr="00E52962">
        <w:rPr>
          <w:rFonts w:ascii="Arial" w:hAnsi="Arial" w:cs="Arial"/>
          <w:sz w:val="22"/>
          <w:szCs w:val="22"/>
          <w:lang w:val="es-ES"/>
        </w:rPr>
        <w:t>Rinesi</w:t>
      </w:r>
      <w:proofErr w:type="spellEnd"/>
      <w:r w:rsidRPr="00E52962">
        <w:rPr>
          <w:rFonts w:ascii="Arial" w:hAnsi="Arial" w:cs="Arial"/>
          <w:sz w:val="22"/>
          <w:szCs w:val="22"/>
          <w:lang w:val="es-ES"/>
        </w:rPr>
        <w:t>, especializado en IA y visualización de datos</w:t>
      </w:r>
    </w:p>
    <w:p w14:paraId="3C7BD78F" w14:textId="77777777" w:rsidR="00631DCC" w:rsidRDefault="00631DCC" w:rsidP="00631DCC">
      <w:pPr>
        <w:spacing w:before="120" w:line="276" w:lineRule="auto"/>
        <w:rPr>
          <w:rFonts w:ascii="Arial" w:hAnsi="Arial" w:cs="Arial"/>
          <w:b/>
          <w:bCs/>
          <w:sz w:val="22"/>
          <w:szCs w:val="22"/>
        </w:rPr>
      </w:pPr>
      <w:proofErr w:type="spellStart"/>
      <w:r>
        <w:rPr>
          <w:rFonts w:ascii="Arial" w:hAnsi="Arial" w:cs="Arial"/>
          <w:b/>
          <w:bCs/>
          <w:sz w:val="22"/>
          <w:szCs w:val="22"/>
        </w:rPr>
        <w:t>Semana</w:t>
      </w:r>
      <w:proofErr w:type="spellEnd"/>
      <w:r>
        <w:rPr>
          <w:rFonts w:ascii="Arial" w:hAnsi="Arial" w:cs="Arial"/>
          <w:b/>
          <w:bCs/>
          <w:sz w:val="22"/>
          <w:szCs w:val="22"/>
        </w:rPr>
        <w:t xml:space="preserve"> 5</w:t>
      </w:r>
    </w:p>
    <w:p w14:paraId="76095FCA" w14:textId="77777777" w:rsidR="00631DCC" w:rsidRPr="00E52962" w:rsidRDefault="00631DCC" w:rsidP="00631DCC">
      <w:pPr>
        <w:numPr>
          <w:ilvl w:val="0"/>
          <w:numId w:val="2"/>
        </w:numPr>
        <w:spacing w:line="276" w:lineRule="auto"/>
        <w:rPr>
          <w:rFonts w:ascii="Arial" w:hAnsi="Arial" w:cs="Arial"/>
          <w:sz w:val="22"/>
          <w:szCs w:val="22"/>
          <w:lang w:val="es-ES"/>
        </w:rPr>
      </w:pPr>
      <w:r w:rsidRPr="00E52962">
        <w:rPr>
          <w:rFonts w:ascii="Arial" w:hAnsi="Arial" w:cs="Arial"/>
          <w:sz w:val="22"/>
          <w:szCs w:val="22"/>
          <w:lang w:val="es-ES"/>
        </w:rPr>
        <w:t xml:space="preserve">Traducir el conocimiento en política y acción con Lily </w:t>
      </w:r>
      <w:proofErr w:type="spellStart"/>
      <w:r w:rsidRPr="00E52962">
        <w:rPr>
          <w:rFonts w:ascii="Arial" w:hAnsi="Arial" w:cs="Arial"/>
          <w:sz w:val="22"/>
          <w:szCs w:val="22"/>
          <w:lang w:val="es-ES"/>
        </w:rPr>
        <w:t>House</w:t>
      </w:r>
      <w:proofErr w:type="spellEnd"/>
      <w:r w:rsidRPr="00E52962">
        <w:rPr>
          <w:rFonts w:ascii="Arial" w:hAnsi="Arial" w:cs="Arial"/>
          <w:sz w:val="22"/>
          <w:szCs w:val="22"/>
          <w:lang w:val="es-ES"/>
        </w:rPr>
        <w:t xml:space="preserve"> </w:t>
      </w:r>
      <w:proofErr w:type="spellStart"/>
      <w:r w:rsidRPr="00E52962">
        <w:rPr>
          <w:rFonts w:ascii="Arial" w:hAnsi="Arial" w:cs="Arial"/>
          <w:sz w:val="22"/>
          <w:szCs w:val="22"/>
          <w:lang w:val="es-ES"/>
        </w:rPr>
        <w:t>Peters</w:t>
      </w:r>
      <w:proofErr w:type="spellEnd"/>
      <w:r w:rsidRPr="00E52962">
        <w:rPr>
          <w:rFonts w:ascii="Arial" w:hAnsi="Arial" w:cs="Arial"/>
          <w:sz w:val="22"/>
          <w:szCs w:val="22"/>
          <w:lang w:val="es-ES"/>
        </w:rPr>
        <w:t xml:space="preserve"> y Gabriela Alonso</w:t>
      </w:r>
    </w:p>
    <w:p w14:paraId="60ACB63A" w14:textId="77777777" w:rsidR="00631DCC" w:rsidRPr="00E52962" w:rsidRDefault="00631DCC" w:rsidP="00631DCC">
      <w:pPr>
        <w:numPr>
          <w:ilvl w:val="0"/>
          <w:numId w:val="2"/>
        </w:numPr>
        <w:spacing w:line="276" w:lineRule="auto"/>
        <w:rPr>
          <w:rFonts w:ascii="Arial" w:hAnsi="Arial" w:cs="Arial"/>
          <w:sz w:val="22"/>
          <w:szCs w:val="22"/>
          <w:lang w:val="es-ES"/>
        </w:rPr>
      </w:pPr>
      <w:r w:rsidRPr="00E52962">
        <w:rPr>
          <w:rFonts w:ascii="Arial" w:hAnsi="Arial" w:cs="Arial"/>
          <w:sz w:val="22"/>
          <w:szCs w:val="22"/>
          <w:lang w:val="es-ES"/>
        </w:rPr>
        <w:t xml:space="preserve">Taller de escritura: Guía rápida para escribir para un público amplio - con </w:t>
      </w:r>
      <w:proofErr w:type="spellStart"/>
      <w:r w:rsidRPr="00E52962">
        <w:rPr>
          <w:rFonts w:ascii="Arial" w:hAnsi="Arial" w:cs="Arial"/>
          <w:sz w:val="22"/>
          <w:szCs w:val="22"/>
          <w:lang w:val="es-ES"/>
        </w:rPr>
        <w:t>Angelo</w:t>
      </w:r>
      <w:proofErr w:type="spellEnd"/>
      <w:r w:rsidRPr="00E52962">
        <w:rPr>
          <w:rFonts w:ascii="Arial" w:hAnsi="Arial" w:cs="Arial"/>
          <w:sz w:val="22"/>
          <w:szCs w:val="22"/>
          <w:lang w:val="es-ES"/>
        </w:rPr>
        <w:t xml:space="preserve"> </w:t>
      </w:r>
      <w:proofErr w:type="spellStart"/>
      <w:r w:rsidRPr="00E52962">
        <w:rPr>
          <w:rFonts w:ascii="Arial" w:hAnsi="Arial" w:cs="Arial"/>
          <w:sz w:val="22"/>
          <w:szCs w:val="22"/>
          <w:lang w:val="es-ES"/>
        </w:rPr>
        <w:t>Attanasio</w:t>
      </w:r>
      <w:proofErr w:type="spellEnd"/>
      <w:r w:rsidRPr="00E52962">
        <w:rPr>
          <w:rFonts w:ascii="Arial" w:hAnsi="Arial" w:cs="Arial"/>
          <w:sz w:val="22"/>
          <w:szCs w:val="22"/>
          <w:lang w:val="es-ES"/>
        </w:rPr>
        <w:t xml:space="preserve">, periodista y editor, antiguo productor de vídeo y escritor de BBC </w:t>
      </w:r>
      <w:proofErr w:type="spellStart"/>
      <w:r w:rsidRPr="00E52962">
        <w:rPr>
          <w:rFonts w:ascii="Arial" w:hAnsi="Arial" w:cs="Arial"/>
          <w:sz w:val="22"/>
          <w:szCs w:val="22"/>
          <w:lang w:val="es-ES"/>
        </w:rPr>
        <w:t>World</w:t>
      </w:r>
      <w:proofErr w:type="spellEnd"/>
      <w:r w:rsidRPr="00E52962">
        <w:rPr>
          <w:rFonts w:ascii="Arial" w:hAnsi="Arial" w:cs="Arial"/>
          <w:sz w:val="22"/>
          <w:szCs w:val="22"/>
          <w:lang w:val="es-ES"/>
        </w:rPr>
        <w:t xml:space="preserve"> New </w:t>
      </w:r>
    </w:p>
    <w:p w14:paraId="5CD7B3FF" w14:textId="77777777" w:rsidR="00631DCC" w:rsidRDefault="00631DCC" w:rsidP="00631DCC">
      <w:pPr>
        <w:spacing w:before="120" w:line="276" w:lineRule="auto"/>
        <w:rPr>
          <w:rFonts w:ascii="Arial" w:hAnsi="Arial" w:cs="Arial"/>
          <w:b/>
          <w:bCs/>
          <w:sz w:val="22"/>
          <w:szCs w:val="22"/>
        </w:rPr>
      </w:pPr>
      <w:proofErr w:type="spellStart"/>
      <w:r>
        <w:rPr>
          <w:rFonts w:ascii="Arial" w:hAnsi="Arial" w:cs="Arial"/>
          <w:b/>
          <w:bCs/>
          <w:sz w:val="22"/>
          <w:szCs w:val="22"/>
        </w:rPr>
        <w:lastRenderedPageBreak/>
        <w:t>Semana</w:t>
      </w:r>
      <w:proofErr w:type="spellEnd"/>
      <w:r>
        <w:rPr>
          <w:rFonts w:ascii="Arial" w:hAnsi="Arial" w:cs="Arial"/>
          <w:b/>
          <w:bCs/>
          <w:sz w:val="22"/>
          <w:szCs w:val="22"/>
        </w:rPr>
        <w:t xml:space="preserve"> 6</w:t>
      </w:r>
    </w:p>
    <w:p w14:paraId="5A21312D" w14:textId="77777777" w:rsidR="00631DCC" w:rsidRPr="00E52962" w:rsidRDefault="00631DCC" w:rsidP="00631DCC">
      <w:pPr>
        <w:pStyle w:val="Prrafodelista"/>
        <w:numPr>
          <w:ilvl w:val="0"/>
          <w:numId w:val="2"/>
        </w:numPr>
        <w:spacing w:line="276" w:lineRule="auto"/>
        <w:rPr>
          <w:lang w:val="es-ES"/>
        </w:rPr>
      </w:pPr>
      <w:proofErr w:type="spellStart"/>
      <w:r w:rsidRPr="00E52962">
        <w:rPr>
          <w:rFonts w:ascii="Arial" w:hAnsi="Arial" w:cs="Arial"/>
          <w:sz w:val="22"/>
          <w:szCs w:val="22"/>
          <w:lang w:val="es-ES"/>
        </w:rPr>
        <w:t>Check</w:t>
      </w:r>
      <w:proofErr w:type="spellEnd"/>
      <w:r w:rsidRPr="00E52962">
        <w:rPr>
          <w:rFonts w:ascii="Arial" w:hAnsi="Arial" w:cs="Arial"/>
          <w:sz w:val="22"/>
          <w:szCs w:val="22"/>
          <w:lang w:val="es-ES"/>
        </w:rPr>
        <w:t>-in #2: actualizaciones sobre el progreso de la propuesta y posibles desafíos.</w:t>
      </w:r>
    </w:p>
    <w:p w14:paraId="466868A2" w14:textId="77777777" w:rsidR="00631DCC" w:rsidRDefault="00631DCC" w:rsidP="00631DCC">
      <w:pPr>
        <w:spacing w:before="120" w:line="276" w:lineRule="auto"/>
        <w:rPr>
          <w:rFonts w:ascii="Arial" w:hAnsi="Arial" w:cs="Arial"/>
          <w:b/>
          <w:bCs/>
          <w:sz w:val="22"/>
          <w:szCs w:val="22"/>
        </w:rPr>
      </w:pPr>
      <w:proofErr w:type="spellStart"/>
      <w:r>
        <w:rPr>
          <w:rFonts w:ascii="Arial" w:hAnsi="Arial" w:cs="Arial"/>
          <w:b/>
          <w:bCs/>
          <w:sz w:val="22"/>
          <w:szCs w:val="22"/>
        </w:rPr>
        <w:t>Semana</w:t>
      </w:r>
      <w:proofErr w:type="spellEnd"/>
      <w:r>
        <w:rPr>
          <w:rFonts w:ascii="Arial" w:hAnsi="Arial" w:cs="Arial"/>
          <w:b/>
          <w:bCs/>
          <w:sz w:val="22"/>
          <w:szCs w:val="22"/>
        </w:rPr>
        <w:t xml:space="preserve"> 7</w:t>
      </w:r>
    </w:p>
    <w:p w14:paraId="2E82EE29" w14:textId="77777777" w:rsidR="00631DCC" w:rsidRPr="00E52962" w:rsidRDefault="00631DCC" w:rsidP="00631DCC">
      <w:pPr>
        <w:numPr>
          <w:ilvl w:val="0"/>
          <w:numId w:val="2"/>
        </w:numPr>
        <w:spacing w:line="276" w:lineRule="auto"/>
        <w:rPr>
          <w:rFonts w:ascii="Arial" w:hAnsi="Arial" w:cs="Arial"/>
          <w:sz w:val="22"/>
          <w:szCs w:val="22"/>
          <w:lang w:val="es-ES"/>
        </w:rPr>
      </w:pPr>
      <w:r w:rsidRPr="00E52962">
        <w:rPr>
          <w:rFonts w:ascii="Arial" w:hAnsi="Arial" w:cs="Arial"/>
          <w:sz w:val="22"/>
          <w:szCs w:val="22"/>
          <w:lang w:val="es-ES"/>
        </w:rPr>
        <w:t xml:space="preserve">TD Redacción de subvenciones, gestión de la investigación, valoración y evaluación con Lily </w:t>
      </w:r>
      <w:proofErr w:type="spellStart"/>
      <w:r w:rsidRPr="00E52962">
        <w:rPr>
          <w:rFonts w:ascii="Arial" w:hAnsi="Arial" w:cs="Arial"/>
          <w:sz w:val="22"/>
          <w:szCs w:val="22"/>
          <w:lang w:val="es-ES"/>
        </w:rPr>
        <w:t>House</w:t>
      </w:r>
      <w:proofErr w:type="spellEnd"/>
      <w:r w:rsidRPr="00E52962">
        <w:rPr>
          <w:rFonts w:ascii="Arial" w:hAnsi="Arial" w:cs="Arial"/>
          <w:sz w:val="22"/>
          <w:szCs w:val="22"/>
          <w:lang w:val="es-ES"/>
        </w:rPr>
        <w:t xml:space="preserve"> </w:t>
      </w:r>
      <w:proofErr w:type="spellStart"/>
      <w:r w:rsidRPr="00E52962">
        <w:rPr>
          <w:rFonts w:ascii="Arial" w:hAnsi="Arial" w:cs="Arial"/>
          <w:sz w:val="22"/>
          <w:szCs w:val="22"/>
          <w:lang w:val="es-ES"/>
        </w:rPr>
        <w:t>Peters</w:t>
      </w:r>
      <w:proofErr w:type="spellEnd"/>
      <w:r w:rsidRPr="00E52962">
        <w:rPr>
          <w:rFonts w:ascii="Arial" w:hAnsi="Arial" w:cs="Arial"/>
          <w:sz w:val="22"/>
          <w:szCs w:val="22"/>
          <w:lang w:val="es-ES"/>
        </w:rPr>
        <w:t xml:space="preserve"> y Gabriela Alonso</w:t>
      </w:r>
    </w:p>
    <w:p w14:paraId="6FF77687" w14:textId="77777777" w:rsidR="00631DCC" w:rsidRDefault="00631DCC" w:rsidP="00631DCC">
      <w:pPr>
        <w:numPr>
          <w:ilvl w:val="1"/>
          <w:numId w:val="2"/>
        </w:numPr>
        <w:spacing w:line="276" w:lineRule="auto"/>
        <w:rPr>
          <w:rFonts w:ascii="Arial" w:hAnsi="Arial" w:cs="Arial"/>
          <w:sz w:val="22"/>
          <w:szCs w:val="22"/>
        </w:rPr>
      </w:pPr>
      <w:proofErr w:type="spellStart"/>
      <w:r>
        <w:rPr>
          <w:rFonts w:ascii="Arial" w:hAnsi="Arial" w:cs="Arial"/>
          <w:sz w:val="22"/>
          <w:szCs w:val="22"/>
        </w:rPr>
        <w:t>Aplicar</w:t>
      </w:r>
      <w:proofErr w:type="spellEnd"/>
      <w:r>
        <w:rPr>
          <w:rFonts w:ascii="Arial" w:hAnsi="Arial" w:cs="Arial"/>
          <w:sz w:val="22"/>
          <w:szCs w:val="22"/>
        </w:rPr>
        <w:t xml:space="preserve"> lo que se </w:t>
      </w:r>
      <w:proofErr w:type="spellStart"/>
      <w:r>
        <w:rPr>
          <w:rFonts w:ascii="Arial" w:hAnsi="Arial" w:cs="Arial"/>
          <w:sz w:val="22"/>
          <w:szCs w:val="22"/>
        </w:rPr>
        <w:t>sabe</w:t>
      </w:r>
      <w:proofErr w:type="spellEnd"/>
    </w:p>
    <w:p w14:paraId="038B1EDE" w14:textId="77777777" w:rsidR="00631DCC" w:rsidRPr="00E52962" w:rsidRDefault="00631DCC" w:rsidP="00631DCC">
      <w:pPr>
        <w:numPr>
          <w:ilvl w:val="1"/>
          <w:numId w:val="2"/>
        </w:numPr>
        <w:spacing w:line="276" w:lineRule="auto"/>
        <w:rPr>
          <w:rFonts w:ascii="Arial" w:hAnsi="Arial" w:cs="Arial"/>
          <w:sz w:val="22"/>
          <w:szCs w:val="22"/>
          <w:lang w:val="es-ES"/>
        </w:rPr>
      </w:pPr>
      <w:r w:rsidRPr="00E52962">
        <w:rPr>
          <w:rFonts w:ascii="Arial" w:hAnsi="Arial" w:cs="Arial"/>
          <w:sz w:val="22"/>
          <w:szCs w:val="22"/>
          <w:lang w:val="es-ES"/>
        </w:rPr>
        <w:t>Criterios de evaluación de la TD</w:t>
      </w:r>
    </w:p>
    <w:p w14:paraId="0B2BEE03" w14:textId="77777777" w:rsidR="00631DCC" w:rsidRPr="00E52962" w:rsidRDefault="00631DCC" w:rsidP="00631DCC">
      <w:pPr>
        <w:numPr>
          <w:ilvl w:val="0"/>
          <w:numId w:val="2"/>
        </w:numPr>
        <w:spacing w:line="276" w:lineRule="auto"/>
        <w:rPr>
          <w:rFonts w:ascii="Arial" w:hAnsi="Arial" w:cs="Arial"/>
          <w:sz w:val="22"/>
          <w:szCs w:val="22"/>
          <w:lang w:val="es-ES"/>
        </w:rPr>
      </w:pPr>
      <w:r w:rsidRPr="00E52962">
        <w:rPr>
          <w:rFonts w:ascii="Arial" w:hAnsi="Arial" w:cs="Arial"/>
          <w:sz w:val="22"/>
          <w:szCs w:val="22"/>
          <w:lang w:val="es-ES"/>
        </w:rPr>
        <w:t xml:space="preserve">Taller: ¿Cómo se diseña una política pública y cómo puedo convertirme en un mejor defensor? - con Pamela </w:t>
      </w:r>
      <w:proofErr w:type="spellStart"/>
      <w:r w:rsidRPr="00E52962">
        <w:rPr>
          <w:rFonts w:ascii="Arial" w:hAnsi="Arial" w:cs="Arial"/>
          <w:sz w:val="22"/>
          <w:szCs w:val="22"/>
          <w:lang w:val="es-ES"/>
        </w:rPr>
        <w:t>Poo</w:t>
      </w:r>
      <w:proofErr w:type="spellEnd"/>
      <w:r w:rsidRPr="00E52962">
        <w:rPr>
          <w:rFonts w:ascii="Arial" w:hAnsi="Arial" w:cs="Arial"/>
          <w:sz w:val="22"/>
          <w:szCs w:val="22"/>
          <w:lang w:val="es-ES"/>
        </w:rPr>
        <w:t>, politóloga</w:t>
      </w:r>
    </w:p>
    <w:p w14:paraId="2323FD37" w14:textId="18887B7D" w:rsidR="00631DCC" w:rsidRPr="00E52962" w:rsidRDefault="00631DCC" w:rsidP="00631DCC">
      <w:pPr>
        <w:rPr>
          <w:rFonts w:ascii="Arial" w:hAnsi="Arial" w:cs="Arial"/>
          <w:b/>
          <w:sz w:val="22"/>
          <w:szCs w:val="22"/>
          <w:lang w:val="es-ES"/>
        </w:rPr>
      </w:pPr>
    </w:p>
    <w:p w14:paraId="36B5E10D" w14:textId="77777777" w:rsidR="00631DCC" w:rsidRPr="00E52962" w:rsidRDefault="00631DCC" w:rsidP="00631DCC">
      <w:pPr>
        <w:pStyle w:val="Ttulo1"/>
        <w:rPr>
          <w:lang w:val="es-ES"/>
        </w:rPr>
      </w:pPr>
      <w:r w:rsidRPr="00E52962">
        <w:rPr>
          <w:lang w:val="es-ES"/>
        </w:rPr>
        <w:t>Fase 2: Taller presencial de desarrollo de subvenciones regionales</w:t>
      </w:r>
    </w:p>
    <w:p w14:paraId="7A8780CB" w14:textId="77777777" w:rsidR="00631DCC" w:rsidRPr="00E52962" w:rsidRDefault="00631DCC" w:rsidP="00631DCC">
      <w:pPr>
        <w:jc w:val="both"/>
        <w:rPr>
          <w:rFonts w:ascii="Arial" w:hAnsi="Arial" w:cs="Arial"/>
          <w:b/>
          <w:bCs/>
          <w:color w:val="000000" w:themeColor="text1"/>
          <w:sz w:val="22"/>
          <w:szCs w:val="22"/>
          <w:lang w:val="es-ES"/>
        </w:rPr>
      </w:pPr>
    </w:p>
    <w:p w14:paraId="3B64DA1E" w14:textId="77777777" w:rsidR="00631DCC" w:rsidRPr="00E52962" w:rsidRDefault="00631DCC" w:rsidP="00631DCC">
      <w:pPr>
        <w:rPr>
          <w:rFonts w:ascii="Arial" w:hAnsi="Arial" w:cs="Arial"/>
          <w:sz w:val="22"/>
          <w:szCs w:val="22"/>
          <w:lang w:val="es-ES"/>
        </w:rPr>
      </w:pPr>
      <w:r w:rsidRPr="00E52962">
        <w:rPr>
          <w:rFonts w:ascii="Arial" w:hAnsi="Arial" w:cs="Arial"/>
          <w:b/>
          <w:sz w:val="22"/>
          <w:szCs w:val="22"/>
          <w:lang w:val="es-ES"/>
        </w:rPr>
        <w:t xml:space="preserve">Fechas del taller presencial: </w:t>
      </w:r>
      <w:r w:rsidRPr="00E52962">
        <w:rPr>
          <w:rFonts w:ascii="Arial" w:hAnsi="Arial" w:cs="Arial"/>
          <w:sz w:val="22"/>
          <w:szCs w:val="22"/>
          <w:lang w:val="es-ES"/>
        </w:rPr>
        <w:t>1 semana en diciembre de 2022</w:t>
      </w:r>
    </w:p>
    <w:p w14:paraId="271079CE" w14:textId="77777777" w:rsidR="00631DCC" w:rsidRPr="00E52962" w:rsidRDefault="00631DCC" w:rsidP="00631DCC">
      <w:pPr>
        <w:rPr>
          <w:rFonts w:ascii="Arial" w:hAnsi="Arial" w:cs="Arial"/>
          <w:sz w:val="22"/>
          <w:szCs w:val="22"/>
          <w:lang w:val="es-ES"/>
        </w:rPr>
      </w:pPr>
      <w:r w:rsidRPr="00E52962">
        <w:rPr>
          <w:rFonts w:ascii="Arial" w:hAnsi="Arial" w:cs="Arial"/>
          <w:b/>
          <w:sz w:val="22"/>
          <w:szCs w:val="22"/>
          <w:lang w:val="es-ES"/>
        </w:rPr>
        <w:t xml:space="preserve">Lugar: </w:t>
      </w:r>
      <w:r w:rsidRPr="00E52962">
        <w:rPr>
          <w:rFonts w:ascii="Arial" w:hAnsi="Arial" w:cs="Arial"/>
          <w:sz w:val="22"/>
          <w:szCs w:val="22"/>
          <w:lang w:val="es-ES"/>
        </w:rPr>
        <w:t>TBD</w:t>
      </w:r>
    </w:p>
    <w:p w14:paraId="3E1DA38F" w14:textId="77777777" w:rsidR="00631DCC" w:rsidRPr="00E52962" w:rsidRDefault="00631DCC" w:rsidP="00631DCC">
      <w:pPr>
        <w:jc w:val="both"/>
        <w:rPr>
          <w:rFonts w:ascii="Arial" w:hAnsi="Arial" w:cs="Arial"/>
          <w:color w:val="000000" w:themeColor="text1"/>
          <w:sz w:val="22"/>
          <w:szCs w:val="22"/>
          <w:lang w:val="es-ES"/>
        </w:rPr>
      </w:pPr>
    </w:p>
    <w:p w14:paraId="121888FB" w14:textId="77777777" w:rsidR="00631DCC" w:rsidRPr="00E52962" w:rsidRDefault="00631DCC" w:rsidP="00631DCC">
      <w:pPr>
        <w:jc w:val="both"/>
        <w:rPr>
          <w:rFonts w:ascii="Arial" w:hAnsi="Arial" w:cs="Arial"/>
          <w:color w:val="000000" w:themeColor="text1"/>
          <w:sz w:val="22"/>
          <w:szCs w:val="22"/>
          <w:lang w:val="es-ES"/>
        </w:rPr>
      </w:pPr>
      <w:r w:rsidRPr="00E52962">
        <w:rPr>
          <w:rFonts w:ascii="Arial" w:hAnsi="Arial" w:cs="Arial"/>
          <w:color w:val="000000" w:themeColor="text1"/>
          <w:sz w:val="22"/>
          <w:szCs w:val="22"/>
          <w:lang w:val="es-ES"/>
        </w:rPr>
        <w:t>Formato</w:t>
      </w:r>
    </w:p>
    <w:p w14:paraId="524BCB77" w14:textId="77777777" w:rsidR="00631DCC" w:rsidRPr="00E52962" w:rsidRDefault="00631DCC" w:rsidP="00631DCC">
      <w:pPr>
        <w:rPr>
          <w:rFonts w:ascii="Arial" w:hAnsi="Arial" w:cs="Arial"/>
          <w:i/>
          <w:sz w:val="22"/>
          <w:szCs w:val="22"/>
          <w:lang w:val="es-ES"/>
        </w:rPr>
      </w:pPr>
      <w:r w:rsidRPr="00E52962">
        <w:rPr>
          <w:rFonts w:ascii="Arial" w:hAnsi="Arial" w:cs="Arial"/>
          <w:i/>
          <w:sz w:val="22"/>
          <w:szCs w:val="22"/>
          <w:lang w:val="es-ES"/>
        </w:rPr>
        <w:t>Antes del taller presencial</w:t>
      </w:r>
    </w:p>
    <w:p w14:paraId="40C97C9B" w14:textId="77777777" w:rsidR="00631DCC" w:rsidRPr="00E52962" w:rsidRDefault="00631DCC" w:rsidP="00631DCC">
      <w:pPr>
        <w:pStyle w:val="Prrafodelista"/>
        <w:numPr>
          <w:ilvl w:val="0"/>
          <w:numId w:val="8"/>
        </w:numPr>
        <w:spacing w:line="276" w:lineRule="auto"/>
        <w:rPr>
          <w:lang w:val="es-ES"/>
        </w:rPr>
      </w:pPr>
      <w:r w:rsidRPr="00E52962">
        <w:rPr>
          <w:rFonts w:ascii="Arial" w:hAnsi="Arial" w:cs="Arial"/>
          <w:sz w:val="22"/>
          <w:szCs w:val="22"/>
          <w:lang w:val="es-ES"/>
        </w:rPr>
        <w:t xml:space="preserve">Los equipos seleccionados seguirán trabajando para mejorar sus propuestas con el apoyo de los mentores.  </w:t>
      </w:r>
    </w:p>
    <w:p w14:paraId="0CBE2120" w14:textId="77777777" w:rsidR="00631DCC" w:rsidRPr="00E52962" w:rsidRDefault="00631DCC" w:rsidP="00631DCC">
      <w:pPr>
        <w:pStyle w:val="Prrafodelista"/>
        <w:numPr>
          <w:ilvl w:val="0"/>
          <w:numId w:val="8"/>
        </w:numPr>
        <w:spacing w:line="276" w:lineRule="auto"/>
        <w:rPr>
          <w:rFonts w:ascii="Arial" w:hAnsi="Arial" w:cs="Arial"/>
          <w:sz w:val="22"/>
          <w:szCs w:val="22"/>
          <w:lang w:val="es-ES"/>
        </w:rPr>
      </w:pPr>
      <w:r w:rsidRPr="00E52962">
        <w:rPr>
          <w:rFonts w:ascii="Arial" w:hAnsi="Arial" w:cs="Arial"/>
          <w:sz w:val="22"/>
          <w:szCs w:val="22"/>
          <w:lang w:val="es-ES"/>
        </w:rPr>
        <w:t xml:space="preserve">Los equipos seguirán participando de forma virtual a través de la red </w:t>
      </w:r>
      <w:proofErr w:type="spellStart"/>
      <w:r w:rsidRPr="00E52962">
        <w:rPr>
          <w:rFonts w:ascii="Arial" w:hAnsi="Arial" w:cs="Arial"/>
          <w:sz w:val="22"/>
          <w:szCs w:val="22"/>
          <w:lang w:val="es-ES"/>
        </w:rPr>
        <w:t>Climate</w:t>
      </w:r>
      <w:proofErr w:type="spellEnd"/>
      <w:r w:rsidRPr="00E52962">
        <w:rPr>
          <w:rFonts w:ascii="Arial" w:hAnsi="Arial" w:cs="Arial"/>
          <w:sz w:val="22"/>
          <w:szCs w:val="22"/>
          <w:lang w:val="es-ES"/>
        </w:rPr>
        <w:t xml:space="preserve"> &amp; </w:t>
      </w:r>
      <w:proofErr w:type="spellStart"/>
      <w:r w:rsidRPr="00E52962">
        <w:rPr>
          <w:rFonts w:ascii="Arial" w:hAnsi="Arial" w:cs="Arial"/>
          <w:sz w:val="22"/>
          <w:szCs w:val="22"/>
          <w:lang w:val="es-ES"/>
        </w:rPr>
        <w:t>Health</w:t>
      </w:r>
      <w:proofErr w:type="spellEnd"/>
      <w:r w:rsidRPr="00E52962">
        <w:rPr>
          <w:rFonts w:ascii="Arial" w:hAnsi="Arial" w:cs="Arial"/>
          <w:sz w:val="22"/>
          <w:szCs w:val="22"/>
          <w:lang w:val="es-ES"/>
        </w:rPr>
        <w:t xml:space="preserve"> </w:t>
      </w:r>
      <w:proofErr w:type="spellStart"/>
      <w:r w:rsidRPr="00E52962">
        <w:rPr>
          <w:rFonts w:ascii="Arial" w:hAnsi="Arial" w:cs="Arial"/>
          <w:sz w:val="22"/>
          <w:szCs w:val="22"/>
          <w:lang w:val="es-ES"/>
        </w:rPr>
        <w:t>Science</w:t>
      </w:r>
      <w:proofErr w:type="spellEnd"/>
      <w:r w:rsidRPr="00E52962">
        <w:rPr>
          <w:rFonts w:ascii="Arial" w:hAnsi="Arial" w:cs="Arial"/>
          <w:sz w:val="22"/>
          <w:szCs w:val="22"/>
          <w:lang w:val="es-ES"/>
        </w:rPr>
        <w:t xml:space="preserve"> to </w:t>
      </w:r>
      <w:proofErr w:type="spellStart"/>
      <w:r w:rsidRPr="00E52962">
        <w:rPr>
          <w:rFonts w:ascii="Arial" w:hAnsi="Arial" w:cs="Arial"/>
          <w:sz w:val="22"/>
          <w:szCs w:val="22"/>
          <w:lang w:val="es-ES"/>
        </w:rPr>
        <w:t>Practice</w:t>
      </w:r>
      <w:proofErr w:type="spellEnd"/>
    </w:p>
    <w:p w14:paraId="750981CB" w14:textId="77777777" w:rsidR="00631DCC" w:rsidRPr="00E52962" w:rsidRDefault="00631DCC" w:rsidP="00631DCC">
      <w:pPr>
        <w:rPr>
          <w:rFonts w:ascii="Arial" w:hAnsi="Arial" w:cs="Arial"/>
          <w:sz w:val="22"/>
          <w:szCs w:val="22"/>
          <w:lang w:val="es-ES"/>
        </w:rPr>
      </w:pPr>
    </w:p>
    <w:p w14:paraId="08C5394B" w14:textId="77777777" w:rsidR="00631DCC" w:rsidRDefault="00631DCC" w:rsidP="00631DCC">
      <w:pPr>
        <w:rPr>
          <w:rFonts w:ascii="Arial" w:hAnsi="Arial" w:cs="Arial"/>
          <w:i/>
          <w:sz w:val="22"/>
          <w:szCs w:val="22"/>
        </w:rPr>
      </w:pPr>
      <w:r>
        <w:rPr>
          <w:rFonts w:ascii="Arial" w:hAnsi="Arial" w:cs="Arial"/>
          <w:i/>
          <w:sz w:val="22"/>
          <w:szCs w:val="22"/>
        </w:rPr>
        <w:t xml:space="preserve">Durante el taller </w:t>
      </w:r>
      <w:proofErr w:type="spellStart"/>
      <w:r>
        <w:rPr>
          <w:rFonts w:ascii="Arial" w:hAnsi="Arial" w:cs="Arial"/>
          <w:i/>
          <w:sz w:val="22"/>
          <w:szCs w:val="22"/>
        </w:rPr>
        <w:t>presencial</w:t>
      </w:r>
      <w:proofErr w:type="spellEnd"/>
    </w:p>
    <w:p w14:paraId="11339F22" w14:textId="77777777" w:rsidR="00631DCC" w:rsidRPr="00E52962" w:rsidRDefault="00631DCC" w:rsidP="00631DCC">
      <w:pPr>
        <w:pStyle w:val="Prrafodelista"/>
        <w:numPr>
          <w:ilvl w:val="0"/>
          <w:numId w:val="7"/>
        </w:numPr>
        <w:spacing w:line="276" w:lineRule="auto"/>
        <w:rPr>
          <w:lang w:val="es-ES"/>
        </w:rPr>
      </w:pPr>
      <w:r w:rsidRPr="00E52962">
        <w:rPr>
          <w:rFonts w:ascii="Arial" w:hAnsi="Arial" w:cs="Arial"/>
          <w:sz w:val="22"/>
          <w:szCs w:val="22"/>
          <w:lang w:val="es-ES"/>
        </w:rPr>
        <w:t xml:space="preserve">Sesiones presenciales con una modalidad híbrida </w:t>
      </w:r>
    </w:p>
    <w:p w14:paraId="046C8743" w14:textId="77777777" w:rsidR="00631DCC" w:rsidRPr="00E52962" w:rsidRDefault="00631DCC" w:rsidP="00631DCC">
      <w:pPr>
        <w:pStyle w:val="Prrafodelista"/>
        <w:numPr>
          <w:ilvl w:val="0"/>
          <w:numId w:val="7"/>
        </w:numPr>
        <w:spacing w:line="276" w:lineRule="auto"/>
        <w:rPr>
          <w:rFonts w:ascii="Arial" w:hAnsi="Arial" w:cs="Arial"/>
          <w:sz w:val="22"/>
          <w:szCs w:val="22"/>
          <w:lang w:val="es-ES"/>
        </w:rPr>
      </w:pPr>
      <w:r w:rsidRPr="00E52962">
        <w:rPr>
          <w:rFonts w:ascii="Arial" w:hAnsi="Arial" w:cs="Arial"/>
          <w:sz w:val="22"/>
          <w:szCs w:val="22"/>
          <w:lang w:val="es-ES"/>
        </w:rPr>
        <w:t>Conferencias diarias de expertos en TD y CEH</w:t>
      </w:r>
    </w:p>
    <w:p w14:paraId="528DD9C0" w14:textId="77777777" w:rsidR="00631DCC" w:rsidRPr="00E52962" w:rsidRDefault="00631DCC" w:rsidP="00631DCC">
      <w:pPr>
        <w:pStyle w:val="Prrafodelista"/>
        <w:numPr>
          <w:ilvl w:val="0"/>
          <w:numId w:val="7"/>
        </w:numPr>
        <w:spacing w:line="276" w:lineRule="auto"/>
        <w:rPr>
          <w:rFonts w:ascii="Arial" w:hAnsi="Arial" w:cs="Arial"/>
          <w:sz w:val="22"/>
          <w:szCs w:val="22"/>
          <w:lang w:val="es-ES"/>
        </w:rPr>
      </w:pPr>
      <w:r w:rsidRPr="00E52962">
        <w:rPr>
          <w:rFonts w:ascii="Arial" w:hAnsi="Arial" w:cs="Arial"/>
          <w:sz w:val="22"/>
          <w:szCs w:val="22"/>
          <w:lang w:val="es-ES"/>
        </w:rPr>
        <w:t>Sesiones de tutoría/asesoramiento para obtener información sobre el desarrollo de la propuesta</w:t>
      </w:r>
    </w:p>
    <w:p w14:paraId="26E76E5F" w14:textId="77777777" w:rsidR="00631DCC" w:rsidRPr="00E52962" w:rsidRDefault="00631DCC" w:rsidP="00631DCC">
      <w:pPr>
        <w:pStyle w:val="Prrafodelista"/>
        <w:numPr>
          <w:ilvl w:val="0"/>
          <w:numId w:val="7"/>
        </w:numPr>
        <w:spacing w:line="276" w:lineRule="auto"/>
        <w:rPr>
          <w:rFonts w:ascii="Arial" w:hAnsi="Arial" w:cs="Arial"/>
          <w:sz w:val="22"/>
          <w:szCs w:val="22"/>
          <w:lang w:val="es-ES"/>
        </w:rPr>
      </w:pPr>
      <w:r w:rsidRPr="00E52962">
        <w:rPr>
          <w:rFonts w:ascii="Arial" w:hAnsi="Arial" w:cs="Arial"/>
          <w:sz w:val="22"/>
          <w:szCs w:val="22"/>
          <w:lang w:val="es-ES"/>
        </w:rPr>
        <w:t>Tiempo de trabajo en equipo para elaborar propuestas</w:t>
      </w:r>
    </w:p>
    <w:p w14:paraId="17820144" w14:textId="77777777" w:rsidR="00631DCC" w:rsidRPr="00E52962" w:rsidRDefault="00631DCC" w:rsidP="00631DCC">
      <w:pPr>
        <w:pStyle w:val="Prrafodelista"/>
        <w:numPr>
          <w:ilvl w:val="0"/>
          <w:numId w:val="7"/>
        </w:numPr>
        <w:spacing w:line="276" w:lineRule="auto"/>
        <w:rPr>
          <w:rFonts w:ascii="Arial" w:hAnsi="Arial" w:cs="Arial"/>
          <w:sz w:val="22"/>
          <w:szCs w:val="22"/>
          <w:lang w:val="es-ES"/>
        </w:rPr>
      </w:pPr>
      <w:r w:rsidRPr="00E52962">
        <w:rPr>
          <w:rFonts w:ascii="Arial" w:hAnsi="Arial" w:cs="Arial"/>
          <w:sz w:val="22"/>
          <w:szCs w:val="22"/>
          <w:lang w:val="es-ES"/>
        </w:rPr>
        <w:t>Visitas sobre el terreno (por determinar)</w:t>
      </w:r>
    </w:p>
    <w:p w14:paraId="71773D81" w14:textId="77777777" w:rsidR="00631DCC" w:rsidRPr="00E52962" w:rsidRDefault="00631DCC" w:rsidP="00631DCC">
      <w:pPr>
        <w:rPr>
          <w:rFonts w:ascii="Arial" w:hAnsi="Arial" w:cs="Arial"/>
          <w:b/>
          <w:bCs/>
          <w:sz w:val="22"/>
          <w:szCs w:val="22"/>
          <w:lang w:val="es-ES"/>
        </w:rPr>
      </w:pPr>
    </w:p>
    <w:p w14:paraId="067F79B9" w14:textId="77777777" w:rsidR="00631DCC" w:rsidRPr="00E52962" w:rsidRDefault="00631DCC" w:rsidP="00631DCC">
      <w:pPr>
        <w:pStyle w:val="Ttulo1"/>
        <w:rPr>
          <w:lang w:val="es-ES"/>
        </w:rPr>
      </w:pPr>
      <w:r w:rsidRPr="00E52962">
        <w:rPr>
          <w:lang w:val="es-ES"/>
        </w:rPr>
        <w:t>Fase 3: Subvenciones iniciales con cofinanciación</w:t>
      </w:r>
    </w:p>
    <w:p w14:paraId="636D6B6C" w14:textId="77777777" w:rsidR="00631DCC" w:rsidRPr="00E52962" w:rsidRDefault="00631DCC" w:rsidP="00631DCC">
      <w:pPr>
        <w:rPr>
          <w:rFonts w:ascii="Arial" w:hAnsi="Arial" w:cs="Arial"/>
          <w:b/>
          <w:sz w:val="22"/>
          <w:szCs w:val="22"/>
          <w:lang w:val="es-ES"/>
        </w:rPr>
      </w:pPr>
    </w:p>
    <w:p w14:paraId="77BEF76E" w14:textId="77777777" w:rsidR="00631DCC" w:rsidRPr="00E52962" w:rsidRDefault="00631DCC" w:rsidP="00631DCC">
      <w:pPr>
        <w:rPr>
          <w:rFonts w:ascii="Arial" w:hAnsi="Arial" w:cs="Arial"/>
          <w:b/>
          <w:sz w:val="22"/>
          <w:szCs w:val="22"/>
          <w:lang w:val="es-ES"/>
        </w:rPr>
      </w:pPr>
      <w:r w:rsidRPr="00E52962">
        <w:rPr>
          <w:rFonts w:ascii="Arial" w:hAnsi="Arial" w:cs="Arial"/>
          <w:b/>
          <w:sz w:val="22"/>
          <w:szCs w:val="22"/>
          <w:lang w:val="es-ES"/>
        </w:rPr>
        <w:t>Fechas: Principios de 2023</w:t>
      </w:r>
    </w:p>
    <w:p w14:paraId="7427380F" w14:textId="77777777" w:rsidR="00631DCC" w:rsidRPr="00E52962" w:rsidRDefault="00631DCC" w:rsidP="00631DCC">
      <w:pPr>
        <w:rPr>
          <w:rFonts w:ascii="Arial" w:hAnsi="Arial" w:cs="Arial"/>
          <w:b/>
          <w:bCs/>
          <w:sz w:val="22"/>
          <w:szCs w:val="22"/>
          <w:lang w:val="es-ES"/>
        </w:rPr>
      </w:pPr>
    </w:p>
    <w:p w14:paraId="1F9E9674" w14:textId="77777777" w:rsidR="00631DCC" w:rsidRPr="00E52962" w:rsidRDefault="00631DCC" w:rsidP="00631DCC">
      <w:pPr>
        <w:spacing w:line="276" w:lineRule="auto"/>
        <w:rPr>
          <w:rFonts w:ascii="Arial" w:hAnsi="Arial" w:cs="Arial"/>
          <w:sz w:val="22"/>
          <w:szCs w:val="22"/>
          <w:lang w:val="es-ES"/>
        </w:rPr>
      </w:pPr>
      <w:r w:rsidRPr="00E52962">
        <w:rPr>
          <w:rFonts w:ascii="Arial" w:hAnsi="Arial" w:cs="Arial"/>
          <w:color w:val="000000" w:themeColor="text1"/>
          <w:sz w:val="22"/>
          <w:szCs w:val="22"/>
          <w:lang w:val="es-ES"/>
        </w:rPr>
        <w:t xml:space="preserve">Una vez completada la Fase 2, los equipos podrán optar a </w:t>
      </w:r>
      <w:r w:rsidRPr="00E52962">
        <w:rPr>
          <w:rFonts w:ascii="Arial" w:hAnsi="Arial" w:cs="Arial"/>
          <w:sz w:val="22"/>
          <w:szCs w:val="22"/>
          <w:lang w:val="es-ES"/>
        </w:rPr>
        <w:t>dos flujos de financiación de la subvención inicial:</w:t>
      </w:r>
    </w:p>
    <w:p w14:paraId="21FEB57C" w14:textId="77777777" w:rsidR="00631DCC" w:rsidRPr="00E52962" w:rsidRDefault="00631DCC" w:rsidP="00631DCC">
      <w:pPr>
        <w:pStyle w:val="Prrafodelista"/>
        <w:numPr>
          <w:ilvl w:val="0"/>
          <w:numId w:val="9"/>
        </w:numPr>
        <w:spacing w:line="276" w:lineRule="auto"/>
        <w:rPr>
          <w:rFonts w:ascii="Arial" w:hAnsi="Arial" w:cs="Arial"/>
          <w:sz w:val="22"/>
          <w:szCs w:val="22"/>
          <w:lang w:val="es-ES"/>
        </w:rPr>
      </w:pPr>
      <w:r w:rsidRPr="00E52962">
        <w:rPr>
          <w:rFonts w:ascii="Arial" w:hAnsi="Arial" w:cs="Arial"/>
          <w:sz w:val="22"/>
          <w:szCs w:val="22"/>
          <w:lang w:val="es-ES"/>
        </w:rPr>
        <w:t>Financiación para apoyar a los equipos para que sigan desarrollando la presentación de una subvención para un mecanismo de financiación más amplio (período de 6 meses), como el Foro Belmont u otro.</w:t>
      </w:r>
    </w:p>
    <w:p w14:paraId="43852B9D" w14:textId="77777777" w:rsidR="00631DCC" w:rsidRPr="00E52962" w:rsidRDefault="00631DCC" w:rsidP="00631DCC">
      <w:pPr>
        <w:pStyle w:val="Prrafodelista"/>
        <w:numPr>
          <w:ilvl w:val="0"/>
          <w:numId w:val="9"/>
        </w:numPr>
        <w:spacing w:line="276" w:lineRule="auto"/>
        <w:rPr>
          <w:rFonts w:ascii="Arial" w:hAnsi="Arial" w:cs="Arial"/>
          <w:sz w:val="22"/>
          <w:szCs w:val="22"/>
          <w:lang w:val="es-ES"/>
        </w:rPr>
      </w:pPr>
      <w:r w:rsidRPr="00E52962">
        <w:rPr>
          <w:rFonts w:ascii="Arial" w:hAnsi="Arial" w:cs="Arial"/>
          <w:sz w:val="22"/>
          <w:szCs w:val="22"/>
          <w:lang w:val="es-ES"/>
        </w:rPr>
        <w:t xml:space="preserve">Financiación para llevar a cabo un estudio piloto de TD CEH con énfasis en los procesos de </w:t>
      </w:r>
      <w:proofErr w:type="spellStart"/>
      <w:r w:rsidRPr="00E52962">
        <w:rPr>
          <w:rFonts w:ascii="Arial" w:hAnsi="Arial" w:cs="Arial"/>
          <w:sz w:val="22"/>
          <w:szCs w:val="22"/>
          <w:lang w:val="es-ES"/>
        </w:rPr>
        <w:t>cocreación</w:t>
      </w:r>
      <w:proofErr w:type="spellEnd"/>
      <w:r w:rsidRPr="00E52962">
        <w:rPr>
          <w:rFonts w:ascii="Arial" w:hAnsi="Arial" w:cs="Arial"/>
          <w:sz w:val="22"/>
          <w:szCs w:val="22"/>
          <w:lang w:val="es-ES"/>
        </w:rPr>
        <w:t xml:space="preserve"> y el compromiso científico-político, durante 12 a 18 meses.</w:t>
      </w:r>
    </w:p>
    <w:p w14:paraId="66E71082" w14:textId="77777777" w:rsidR="00631DCC" w:rsidRPr="00E52962" w:rsidRDefault="00631DCC" w:rsidP="00631DCC">
      <w:pPr>
        <w:spacing w:line="276" w:lineRule="auto"/>
        <w:rPr>
          <w:rFonts w:ascii="Arial" w:hAnsi="Arial" w:cs="Arial"/>
          <w:sz w:val="22"/>
          <w:szCs w:val="22"/>
          <w:lang w:val="es-ES"/>
        </w:rPr>
      </w:pPr>
    </w:p>
    <w:p w14:paraId="49712956" w14:textId="77777777" w:rsidR="00631DCC" w:rsidRPr="00E52962" w:rsidRDefault="00631DCC" w:rsidP="00631DCC">
      <w:pPr>
        <w:spacing w:line="276" w:lineRule="auto"/>
        <w:rPr>
          <w:lang w:val="es-ES"/>
        </w:rPr>
      </w:pPr>
      <w:r w:rsidRPr="00E52962">
        <w:rPr>
          <w:rFonts w:ascii="Arial" w:hAnsi="Arial" w:cs="Arial"/>
          <w:sz w:val="22"/>
          <w:szCs w:val="22"/>
          <w:lang w:val="es-ES"/>
        </w:rPr>
        <w:lastRenderedPageBreak/>
        <w:t>Los equipos a los que se les conceda una subvención inicial seguirán colaborando con los mentores de TD a lo largo de la subvención.  También se espera que los equipos compartan con otros grupos la formación que han recibido, para ampliar su alcance e impacto.</w:t>
      </w:r>
    </w:p>
    <w:p w14:paraId="154BA77B" w14:textId="77777777" w:rsidR="00631DCC" w:rsidRPr="00E52962" w:rsidRDefault="00631DCC" w:rsidP="00631DCC">
      <w:pPr>
        <w:spacing w:line="276" w:lineRule="auto"/>
        <w:rPr>
          <w:rFonts w:ascii="Arial" w:hAnsi="Arial" w:cs="Arial"/>
          <w:sz w:val="22"/>
          <w:szCs w:val="22"/>
          <w:lang w:val="es-ES"/>
        </w:rPr>
      </w:pPr>
    </w:p>
    <w:p w14:paraId="1264C7FE" w14:textId="77777777" w:rsidR="00631DCC" w:rsidRPr="00E52962" w:rsidRDefault="00631DCC" w:rsidP="00631DCC">
      <w:pPr>
        <w:spacing w:line="276" w:lineRule="auto"/>
        <w:rPr>
          <w:rFonts w:ascii="Arial" w:eastAsia="Arial" w:hAnsi="Arial" w:cs="Arial"/>
          <w:b/>
          <w:bCs/>
          <w:sz w:val="22"/>
          <w:szCs w:val="22"/>
          <w:lang w:val="es-ES"/>
        </w:rPr>
      </w:pPr>
      <w:r w:rsidRPr="00E52962">
        <w:rPr>
          <w:rFonts w:ascii="Arial" w:eastAsia="Arial" w:hAnsi="Arial" w:cs="Arial"/>
          <w:b/>
          <w:bCs/>
          <w:sz w:val="22"/>
          <w:szCs w:val="22"/>
          <w:lang w:val="es-ES"/>
        </w:rPr>
        <w:t>Requisito de cofinanciación para las propuestas de subvenciones iniciales</w:t>
      </w:r>
    </w:p>
    <w:p w14:paraId="3F59187D" w14:textId="77777777" w:rsidR="00631DCC" w:rsidRPr="00E52962" w:rsidRDefault="00631DCC" w:rsidP="00631DCC">
      <w:pPr>
        <w:spacing w:line="276" w:lineRule="auto"/>
        <w:rPr>
          <w:rFonts w:ascii="Arial" w:eastAsia="Arial" w:hAnsi="Arial" w:cs="Arial"/>
          <w:sz w:val="22"/>
          <w:szCs w:val="22"/>
          <w:lang w:val="es-ES"/>
        </w:rPr>
      </w:pPr>
      <w:r w:rsidRPr="00E52962">
        <w:rPr>
          <w:rFonts w:ascii="Arial" w:eastAsia="Arial" w:hAnsi="Arial" w:cs="Arial"/>
          <w:sz w:val="22"/>
          <w:szCs w:val="22"/>
          <w:lang w:val="es-ES"/>
        </w:rPr>
        <w:t>Se espera que los equipos consigan cofinanciación para las propuestas de subvenciones iniciales, de modo que los recursos necesarios para llevar a cabo los proyectos no dependan totalmente de la subvención del IAI. La cofinanciación es un factor clave para los proyectos que se consideren para estas subvenciones. El IAI prevé una mayor cofinanciación en los países de renta alta y media-alta con mayor desarrollo científico y tecnológico. La cofinanciación fomenta la aportación de recursos adicionales -financiación, conocimientos y experiencia- al programa. Aumenta la apropiación del proyecto por parte de los participantes y contribuye al establecimiento de asociaciones sólidas. La cofinanciación también ayuda al IAI a centrar su financiación en el apoyo al coste incremental de los proyectos, haciendo hincapié en el apoyo a los países miembros del IAI que más necesitan para desarrollar su capacidad científica y tecnológica.</w:t>
      </w:r>
    </w:p>
    <w:p w14:paraId="580D5C9C" w14:textId="77777777" w:rsidR="00631DCC" w:rsidRPr="00E52962" w:rsidRDefault="00631DCC" w:rsidP="00631DCC">
      <w:pPr>
        <w:spacing w:line="276" w:lineRule="auto"/>
        <w:rPr>
          <w:rFonts w:ascii="Arial" w:eastAsia="Arial" w:hAnsi="Arial" w:cs="Arial"/>
          <w:sz w:val="22"/>
          <w:szCs w:val="22"/>
          <w:lang w:val="es-ES"/>
        </w:rPr>
      </w:pPr>
    </w:p>
    <w:p w14:paraId="13A6A76A" w14:textId="77777777" w:rsidR="00631DCC" w:rsidRPr="00E52962" w:rsidRDefault="00631DCC" w:rsidP="00631DCC">
      <w:pPr>
        <w:spacing w:line="276" w:lineRule="auto"/>
        <w:rPr>
          <w:rFonts w:ascii="Arial" w:eastAsia="Arial" w:hAnsi="Arial" w:cs="Arial"/>
          <w:sz w:val="22"/>
          <w:szCs w:val="22"/>
          <w:lang w:val="es-ES"/>
        </w:rPr>
      </w:pPr>
      <w:r w:rsidRPr="00E52962">
        <w:rPr>
          <w:rFonts w:ascii="Arial" w:eastAsia="Arial" w:hAnsi="Arial" w:cs="Arial"/>
          <w:sz w:val="22"/>
          <w:szCs w:val="22"/>
          <w:lang w:val="es-ES"/>
        </w:rPr>
        <w:t xml:space="preserve">La cofinanciación se define como los recursos adicionales a la subvención del IAI que aportan las instituciones del becario, los gobiernos (agencias de financiación de la ciencia, otros organismos gubernamentales a nivel nacional, </w:t>
      </w:r>
      <w:proofErr w:type="spellStart"/>
      <w:r w:rsidRPr="00E52962">
        <w:rPr>
          <w:rFonts w:ascii="Arial" w:eastAsia="Arial" w:hAnsi="Arial" w:cs="Arial"/>
          <w:sz w:val="22"/>
          <w:szCs w:val="22"/>
          <w:lang w:val="es-ES"/>
        </w:rPr>
        <w:t>subnacional</w:t>
      </w:r>
      <w:proofErr w:type="spellEnd"/>
      <w:r w:rsidRPr="00E52962">
        <w:rPr>
          <w:rFonts w:ascii="Arial" w:eastAsia="Arial" w:hAnsi="Arial" w:cs="Arial"/>
          <w:sz w:val="22"/>
          <w:szCs w:val="22"/>
          <w:lang w:val="es-ES"/>
        </w:rPr>
        <w:t xml:space="preserve"> y local), otras agencias multilaterales, agencias de cooperación al desarrollo, el sector privado, fundaciones privadas, organizaciones de la sociedad civil y diversos tipos de beneficiarios, para apoyar la implementación de la propuesta y el logro de sus objetivos. </w:t>
      </w:r>
    </w:p>
    <w:p w14:paraId="7B713FB5" w14:textId="77777777" w:rsidR="00631DCC" w:rsidRPr="00E52962" w:rsidRDefault="00631DCC" w:rsidP="00631DCC">
      <w:pPr>
        <w:spacing w:line="276" w:lineRule="auto"/>
        <w:rPr>
          <w:rFonts w:ascii="Arial" w:eastAsia="Arial" w:hAnsi="Arial" w:cs="Arial"/>
          <w:sz w:val="22"/>
          <w:szCs w:val="22"/>
          <w:lang w:val="es-ES"/>
        </w:rPr>
      </w:pPr>
    </w:p>
    <w:p w14:paraId="42A5F76B" w14:textId="77777777" w:rsidR="00631DCC" w:rsidRPr="00E52962" w:rsidRDefault="00631DCC" w:rsidP="00631DCC">
      <w:pPr>
        <w:spacing w:line="276" w:lineRule="auto"/>
        <w:rPr>
          <w:rFonts w:ascii="Arial" w:eastAsia="Arial" w:hAnsi="Arial" w:cs="Arial"/>
          <w:sz w:val="22"/>
          <w:szCs w:val="22"/>
          <w:lang w:val="es-ES"/>
        </w:rPr>
      </w:pPr>
      <w:r w:rsidRPr="00E52962">
        <w:rPr>
          <w:rFonts w:ascii="Arial" w:eastAsia="Arial" w:hAnsi="Arial" w:cs="Arial"/>
          <w:sz w:val="22"/>
          <w:szCs w:val="22"/>
          <w:lang w:val="es-ES"/>
        </w:rPr>
        <w:t>La cofinanciación puede adoptar la forma de contribuciones financieras o en especie. Las contribuciones en especie admisibles incluyen recursos no monetarios como los salarios de los investigadores o de los empleados de las organizaciones que participan en el proyecto; becas para estudiantes, valoradas a la tarifa habitual por el tiempo dedicado al proyecto; acceso a bases de datos de pago (costes incrementales de acceso); servicios analíticos, profesionales, técnicos y de otro tipo (impresión, edición, publicación, transporte, etc.) a la tarifa habitual por el tiempo dedicado; provisión o acceso a equipos y vehículos, y sus suministros; espacio e instalaciones que se utilizarán para el trabajo de oficina, el trabajo de campo, las reuniones y las actividades comunitarias, valorados a la tarifa justa de alquiler; otros suministros.</w:t>
      </w:r>
    </w:p>
    <w:p w14:paraId="741196AA" w14:textId="77777777" w:rsidR="00631DCC" w:rsidRPr="00E52962" w:rsidRDefault="00631DCC" w:rsidP="00631DCC">
      <w:pPr>
        <w:spacing w:line="276" w:lineRule="auto"/>
        <w:rPr>
          <w:rFonts w:ascii="Arial" w:eastAsia="Arial" w:hAnsi="Arial" w:cs="Arial"/>
          <w:sz w:val="22"/>
          <w:szCs w:val="22"/>
          <w:lang w:val="es-ES"/>
        </w:rPr>
      </w:pPr>
    </w:p>
    <w:p w14:paraId="61CDECF2" w14:textId="77777777" w:rsidR="00631DCC" w:rsidRPr="00E52962" w:rsidRDefault="00631DCC" w:rsidP="00631DCC">
      <w:pPr>
        <w:spacing w:line="276" w:lineRule="auto"/>
        <w:rPr>
          <w:lang w:val="es-ES"/>
        </w:rPr>
      </w:pPr>
      <w:r w:rsidRPr="00E52962">
        <w:rPr>
          <w:rFonts w:ascii="Arial" w:eastAsia="Arial" w:hAnsi="Arial" w:cs="Arial"/>
          <w:sz w:val="22"/>
          <w:szCs w:val="22"/>
          <w:lang w:val="es-ES"/>
        </w:rPr>
        <w:t>La cofinanciación debe tener en cuenta las características específicas de la propuesta: los socios implicados y sus funciones, el plan de trabajo y los tipos de actividades, y el calendario. El IAI sólo reconocerá las contribuciones en especie que estén plenamente documentadas y se consideren esenciales para llevar a cabo el trabajo.</w:t>
      </w:r>
    </w:p>
    <w:p w14:paraId="3407DD0D" w14:textId="77777777" w:rsidR="00631DCC" w:rsidRPr="00E52962" w:rsidRDefault="00631DCC" w:rsidP="00631DCC">
      <w:pPr>
        <w:spacing w:line="276" w:lineRule="auto"/>
        <w:rPr>
          <w:lang w:val="es-ES"/>
        </w:rPr>
      </w:pPr>
    </w:p>
    <w:p w14:paraId="2CB80D19" w14:textId="77777777" w:rsidR="00631DCC" w:rsidRDefault="00631DCC" w:rsidP="00631DCC">
      <w:pPr>
        <w:pStyle w:val="Ttulo1"/>
        <w:rPr>
          <w:rFonts w:eastAsia="Arial"/>
        </w:rPr>
      </w:pPr>
      <w:proofErr w:type="spellStart"/>
      <w:r>
        <w:t>Proceso</w:t>
      </w:r>
      <w:proofErr w:type="spellEnd"/>
      <w:r>
        <w:t xml:space="preserve"> de </w:t>
      </w:r>
      <w:proofErr w:type="spellStart"/>
      <w:r>
        <w:t>solicitud</w:t>
      </w:r>
      <w:proofErr w:type="spellEnd"/>
    </w:p>
    <w:p w14:paraId="2BDB359A" w14:textId="6AC85411" w:rsidR="00631DCC" w:rsidRPr="00E52962" w:rsidRDefault="00631DCC" w:rsidP="00631DCC">
      <w:pPr>
        <w:pStyle w:val="Prrafodelista"/>
        <w:numPr>
          <w:ilvl w:val="0"/>
          <w:numId w:val="1"/>
        </w:numPr>
        <w:rPr>
          <w:rFonts w:ascii="Arial" w:hAnsi="Arial" w:cs="Arial"/>
          <w:b/>
          <w:bCs/>
          <w:sz w:val="22"/>
          <w:szCs w:val="22"/>
          <w:lang w:val="es-ES"/>
        </w:rPr>
      </w:pPr>
      <w:r w:rsidRPr="00E52962">
        <w:rPr>
          <w:rFonts w:ascii="Arial" w:hAnsi="Arial" w:cs="Arial"/>
          <w:sz w:val="22"/>
          <w:szCs w:val="22"/>
          <w:lang w:val="es-ES"/>
        </w:rPr>
        <w:lastRenderedPageBreak/>
        <w:t xml:space="preserve">Los equipos de TD y los individuos interesados deben solicitarlo rellenando la Expresión de Interés (EOI). El enlace y las instrucciones están disponibles en la página web del IAI </w:t>
      </w:r>
      <w:r w:rsidRPr="00C73745">
        <w:rPr>
          <w:rFonts w:ascii="Arial" w:hAnsi="Arial" w:cs="Arial"/>
          <w:sz w:val="22"/>
          <w:szCs w:val="22"/>
          <w:lang w:val="es-ES"/>
        </w:rPr>
        <w:t>(</w:t>
      </w:r>
      <w:hyperlink r:id="rId9" w:history="1">
        <w:r w:rsidR="00C73745" w:rsidRPr="00C73745">
          <w:rPr>
            <w:rStyle w:val="Hipervnculo"/>
            <w:rFonts w:ascii="Arial" w:hAnsi="Arial" w:cs="Arial"/>
            <w:sz w:val="22"/>
            <w:szCs w:val="22"/>
            <w:lang w:val="es-ES"/>
          </w:rPr>
          <w:t>https://www.iai.int/es/post/detail/CEH-responders-in-the-Americas</w:t>
        </w:r>
      </w:hyperlink>
      <w:r w:rsidRPr="00E52962">
        <w:rPr>
          <w:rFonts w:ascii="Arial" w:hAnsi="Arial" w:cs="Arial"/>
          <w:sz w:val="22"/>
          <w:szCs w:val="22"/>
          <w:lang w:val="es-ES"/>
        </w:rPr>
        <w:t xml:space="preserve">) y de la GCCHE </w:t>
      </w:r>
      <w:r w:rsidR="00C73745" w:rsidRPr="00C73745">
        <w:rPr>
          <w:lang w:val="es-ES"/>
        </w:rPr>
        <w:t>(</w:t>
      </w:r>
      <w:hyperlink r:id="rId10" w:history="1">
        <w:r w:rsidRPr="00C73745">
          <w:rPr>
            <w:rStyle w:val="Hipervnculo"/>
            <w:rFonts w:ascii="Arial" w:hAnsi="Arial" w:cs="Arial"/>
            <w:sz w:val="22"/>
            <w:szCs w:val="22"/>
            <w:lang w:val="es-ES"/>
          </w:rPr>
          <w:t>https://www.publichealth.columbia.edu/research/global-consortium-climate-and-health-education/climate-environment-and-health-responders-americas</w:t>
        </w:r>
      </w:hyperlink>
      <w:r w:rsidRPr="00E52962">
        <w:rPr>
          <w:rFonts w:ascii="Arial" w:hAnsi="Arial" w:cs="Arial"/>
          <w:sz w:val="22"/>
          <w:szCs w:val="22"/>
          <w:lang w:val="es-ES"/>
        </w:rPr>
        <w:t xml:space="preserve">). </w:t>
      </w:r>
    </w:p>
    <w:p w14:paraId="13A40D4B" w14:textId="77777777" w:rsidR="00631DCC" w:rsidRPr="00E52962" w:rsidRDefault="00631DCC" w:rsidP="00631DCC">
      <w:pPr>
        <w:pStyle w:val="Prrafodelista"/>
        <w:numPr>
          <w:ilvl w:val="0"/>
          <w:numId w:val="1"/>
        </w:numPr>
        <w:rPr>
          <w:rFonts w:ascii="Arial" w:hAnsi="Arial" w:cs="Arial"/>
          <w:b/>
          <w:bCs/>
          <w:sz w:val="22"/>
          <w:szCs w:val="22"/>
          <w:lang w:val="es-ES"/>
        </w:rPr>
      </w:pPr>
      <w:r w:rsidRPr="00E52962">
        <w:rPr>
          <w:rFonts w:ascii="Arial" w:hAnsi="Arial" w:cs="Arial"/>
          <w:sz w:val="22"/>
          <w:szCs w:val="22"/>
          <w:lang w:val="es-ES"/>
        </w:rPr>
        <w:t>Se aceptarán solicitudes de información en inglés o en español.</w:t>
      </w:r>
    </w:p>
    <w:p w14:paraId="179EC081" w14:textId="77777777" w:rsidR="00631DCC" w:rsidRPr="00E52962" w:rsidRDefault="00631DCC" w:rsidP="00631DCC">
      <w:pPr>
        <w:pStyle w:val="Prrafodelista"/>
        <w:numPr>
          <w:ilvl w:val="0"/>
          <w:numId w:val="1"/>
        </w:numPr>
        <w:rPr>
          <w:rFonts w:ascii="Arial" w:hAnsi="Arial" w:cs="Arial"/>
          <w:sz w:val="22"/>
          <w:szCs w:val="22"/>
          <w:lang w:val="es-ES"/>
        </w:rPr>
      </w:pPr>
      <w:r w:rsidRPr="00E52962">
        <w:rPr>
          <w:rFonts w:ascii="Arial" w:hAnsi="Arial" w:cs="Arial"/>
          <w:sz w:val="22"/>
          <w:szCs w:val="22"/>
          <w:lang w:val="es-ES"/>
        </w:rPr>
        <w:t>La fecha límite para presentar la solicitud es el 1 de agosto de 2022.</w:t>
      </w:r>
    </w:p>
    <w:p w14:paraId="404BC890" w14:textId="77777777" w:rsidR="00631DCC" w:rsidRPr="00E52962" w:rsidRDefault="00631DCC" w:rsidP="00631DCC">
      <w:pPr>
        <w:rPr>
          <w:rFonts w:ascii="Arial" w:hAnsi="Arial" w:cs="Arial"/>
          <w:sz w:val="22"/>
          <w:szCs w:val="22"/>
          <w:lang w:val="es-ES"/>
        </w:rPr>
      </w:pPr>
    </w:p>
    <w:p w14:paraId="365A22E4" w14:textId="77777777" w:rsidR="00631DCC" w:rsidRPr="00E52962" w:rsidRDefault="00631DCC" w:rsidP="00631DCC">
      <w:pPr>
        <w:pStyle w:val="Ttulo1"/>
        <w:rPr>
          <w:lang w:val="es-ES"/>
        </w:rPr>
      </w:pPr>
      <w:r w:rsidRPr="00E52962">
        <w:rPr>
          <w:lang w:val="es-ES"/>
        </w:rPr>
        <w:t>Línea de tiempo</w:t>
      </w:r>
    </w:p>
    <w:p w14:paraId="3AF951DB" w14:textId="77777777" w:rsidR="00631DCC" w:rsidRPr="00E52962" w:rsidRDefault="00631DCC" w:rsidP="00631DCC">
      <w:pPr>
        <w:spacing w:line="276" w:lineRule="auto"/>
        <w:rPr>
          <w:rFonts w:ascii="Arial" w:hAnsi="Arial" w:cs="Arial"/>
          <w:color w:val="000000" w:themeColor="text1"/>
          <w:sz w:val="22"/>
          <w:szCs w:val="22"/>
          <w:lang w:val="es-ES"/>
        </w:rPr>
      </w:pPr>
      <w:r w:rsidRPr="00E52962">
        <w:rPr>
          <w:rFonts w:ascii="Arial" w:hAnsi="Arial" w:cs="Arial"/>
          <w:color w:val="000000" w:themeColor="text1"/>
          <w:sz w:val="22"/>
          <w:szCs w:val="22"/>
          <w:lang w:val="es-ES"/>
        </w:rPr>
        <w:t>Fecha límite para la manifestación de interés: 1 de agosto de 2022</w:t>
      </w:r>
    </w:p>
    <w:p w14:paraId="09C60DE9" w14:textId="77777777" w:rsidR="00631DCC" w:rsidRPr="00E52962" w:rsidRDefault="00631DCC" w:rsidP="00631DCC">
      <w:pPr>
        <w:spacing w:line="276" w:lineRule="auto"/>
        <w:rPr>
          <w:rFonts w:ascii="Arial" w:hAnsi="Arial" w:cs="Arial"/>
          <w:color w:val="000000" w:themeColor="text1"/>
          <w:sz w:val="22"/>
          <w:szCs w:val="22"/>
          <w:lang w:val="es-ES"/>
        </w:rPr>
      </w:pPr>
      <w:r w:rsidRPr="00E52962">
        <w:rPr>
          <w:rFonts w:ascii="Arial" w:hAnsi="Arial" w:cs="Arial"/>
          <w:color w:val="000000" w:themeColor="text1"/>
          <w:sz w:val="22"/>
          <w:szCs w:val="22"/>
          <w:lang w:val="es-ES"/>
        </w:rPr>
        <w:t>Los participantes serán notificados si son seleccionados: 21 de agosto de 2022</w:t>
      </w:r>
    </w:p>
    <w:p w14:paraId="0E1064D6" w14:textId="77777777" w:rsidR="00631DCC" w:rsidRPr="00E52962" w:rsidRDefault="00631DCC" w:rsidP="00631DCC">
      <w:pPr>
        <w:spacing w:line="276" w:lineRule="auto"/>
        <w:rPr>
          <w:rFonts w:ascii="Arial" w:hAnsi="Arial" w:cs="Arial"/>
          <w:color w:val="000000" w:themeColor="text1"/>
          <w:sz w:val="22"/>
          <w:szCs w:val="22"/>
          <w:lang w:val="es-ES"/>
        </w:rPr>
      </w:pPr>
      <w:r w:rsidRPr="00E52962">
        <w:rPr>
          <w:rFonts w:ascii="Arial" w:hAnsi="Arial" w:cs="Arial"/>
          <w:color w:val="000000" w:themeColor="text1"/>
          <w:sz w:val="22"/>
          <w:szCs w:val="22"/>
          <w:lang w:val="es-ES"/>
        </w:rPr>
        <w:t>Fase 1, Tutoría Virtual y Formación duración: 20 Sept - 03 Nov 2022</w:t>
      </w:r>
    </w:p>
    <w:p w14:paraId="25F91A45" w14:textId="77777777" w:rsidR="00631DCC" w:rsidRPr="00E52962" w:rsidRDefault="00631DCC" w:rsidP="00631DCC">
      <w:pPr>
        <w:spacing w:line="276" w:lineRule="auto"/>
        <w:rPr>
          <w:rFonts w:ascii="Arial" w:hAnsi="Arial" w:cs="Arial"/>
          <w:sz w:val="22"/>
          <w:szCs w:val="22"/>
          <w:lang w:val="es-ES"/>
        </w:rPr>
      </w:pPr>
      <w:r w:rsidRPr="00E52962">
        <w:rPr>
          <w:rFonts w:ascii="Arial" w:hAnsi="Arial" w:cs="Arial"/>
          <w:sz w:val="22"/>
          <w:szCs w:val="22"/>
          <w:lang w:val="es-ES"/>
        </w:rPr>
        <w:t>Plazo de presentación de propuestas: 10 de noviembre de 2022</w:t>
      </w:r>
    </w:p>
    <w:p w14:paraId="60718934" w14:textId="77777777" w:rsidR="00631DCC" w:rsidRPr="00E52962" w:rsidRDefault="00631DCC" w:rsidP="00631DCC">
      <w:pPr>
        <w:spacing w:line="276" w:lineRule="auto"/>
        <w:rPr>
          <w:rFonts w:ascii="Arial" w:hAnsi="Arial" w:cs="Arial"/>
          <w:sz w:val="22"/>
          <w:szCs w:val="22"/>
          <w:lang w:val="es-ES"/>
        </w:rPr>
      </w:pPr>
      <w:r w:rsidRPr="00E52962">
        <w:rPr>
          <w:rFonts w:ascii="Arial" w:hAnsi="Arial" w:cs="Arial"/>
          <w:sz w:val="22"/>
          <w:szCs w:val="22"/>
          <w:lang w:val="es-ES"/>
        </w:rPr>
        <w:t>Fase 2, Taller presencial: 05 dic - 09 dic 2022</w:t>
      </w:r>
    </w:p>
    <w:p w14:paraId="7EA97C4F" w14:textId="77777777" w:rsidR="00631DCC" w:rsidRPr="00E52962" w:rsidRDefault="00631DCC" w:rsidP="00631DCC">
      <w:pPr>
        <w:spacing w:line="276" w:lineRule="auto"/>
        <w:rPr>
          <w:rFonts w:ascii="Arial" w:hAnsi="Arial" w:cs="Arial"/>
          <w:sz w:val="22"/>
          <w:szCs w:val="22"/>
          <w:lang w:val="es-ES"/>
        </w:rPr>
      </w:pPr>
      <w:r w:rsidRPr="00E52962">
        <w:rPr>
          <w:rFonts w:ascii="Arial" w:hAnsi="Arial" w:cs="Arial"/>
          <w:sz w:val="22"/>
          <w:szCs w:val="22"/>
          <w:lang w:val="es-ES"/>
        </w:rPr>
        <w:t xml:space="preserve">Fase 3, subvenciones semilla concedidas: </w:t>
      </w:r>
      <w:proofErr w:type="gramStart"/>
      <w:r w:rsidRPr="00E52962">
        <w:rPr>
          <w:rFonts w:ascii="Arial" w:hAnsi="Arial" w:cs="Arial"/>
          <w:sz w:val="22"/>
          <w:szCs w:val="22"/>
          <w:lang w:val="es-ES"/>
        </w:rPr>
        <w:t>Enero</w:t>
      </w:r>
      <w:proofErr w:type="gramEnd"/>
      <w:r w:rsidRPr="00E52962">
        <w:rPr>
          <w:rFonts w:ascii="Arial" w:hAnsi="Arial" w:cs="Arial"/>
          <w:sz w:val="22"/>
          <w:szCs w:val="22"/>
          <w:lang w:val="es-ES"/>
        </w:rPr>
        <w:t xml:space="preserve"> 2022</w:t>
      </w:r>
    </w:p>
    <w:p w14:paraId="4712DC88" w14:textId="77777777" w:rsidR="00631DCC" w:rsidRPr="00E52962" w:rsidRDefault="00631DCC" w:rsidP="00631DCC">
      <w:pPr>
        <w:rPr>
          <w:rFonts w:ascii="Arial" w:hAnsi="Arial" w:cs="Arial"/>
          <w:sz w:val="22"/>
          <w:szCs w:val="22"/>
          <w:lang w:val="es-ES"/>
        </w:rPr>
      </w:pPr>
    </w:p>
    <w:p w14:paraId="176B54A9" w14:textId="50C61ED3" w:rsidR="00631DCC" w:rsidRDefault="00631DCC" w:rsidP="00631DCC">
      <w:pPr>
        <w:pStyle w:val="Ttulo2"/>
      </w:pPr>
      <w:proofErr w:type="spellStart"/>
      <w:r>
        <w:t>Fase</w:t>
      </w:r>
      <w:proofErr w:type="spellEnd"/>
      <w:r>
        <w:t xml:space="preserve"> 1</w:t>
      </w:r>
    </w:p>
    <w:p w14:paraId="0B9B9C55" w14:textId="77777777" w:rsidR="00631DCC" w:rsidRPr="00E52962" w:rsidRDefault="00631DCC" w:rsidP="00631DCC">
      <w:pPr>
        <w:pStyle w:val="Prrafodelista"/>
        <w:numPr>
          <w:ilvl w:val="0"/>
          <w:numId w:val="1"/>
        </w:numPr>
        <w:rPr>
          <w:lang w:val="es-ES"/>
        </w:rPr>
      </w:pPr>
      <w:r w:rsidRPr="00E52962">
        <w:rPr>
          <w:rFonts w:ascii="Arial" w:hAnsi="Arial" w:cs="Arial"/>
          <w:sz w:val="22"/>
          <w:szCs w:val="22"/>
          <w:lang w:val="es-ES"/>
        </w:rPr>
        <w:t>Se admiten dos tipos de manifestaciones de interés:</w:t>
      </w:r>
    </w:p>
    <w:p w14:paraId="6BC9208C" w14:textId="77777777" w:rsidR="00631DCC" w:rsidRPr="00E52962" w:rsidRDefault="00631DCC" w:rsidP="00631DCC">
      <w:pPr>
        <w:pStyle w:val="Prrafodelista"/>
        <w:numPr>
          <w:ilvl w:val="1"/>
          <w:numId w:val="11"/>
        </w:numPr>
        <w:ind w:left="709" w:hanging="283"/>
        <w:rPr>
          <w:lang w:val="es-ES"/>
        </w:rPr>
      </w:pPr>
      <w:r w:rsidRPr="00E52962">
        <w:rPr>
          <w:rFonts w:ascii="Arial" w:hAnsi="Arial" w:cs="Arial"/>
          <w:sz w:val="22"/>
          <w:szCs w:val="22"/>
          <w:lang w:val="es-ES"/>
        </w:rPr>
        <w:t xml:space="preserve">Equipo de TD: Estos </w:t>
      </w:r>
      <w:r w:rsidRPr="00E52962">
        <w:rPr>
          <w:rFonts w:ascii="Arial" w:eastAsia="Arial" w:hAnsi="Arial" w:cs="Arial"/>
          <w:sz w:val="22"/>
          <w:szCs w:val="22"/>
          <w:lang w:val="es-ES"/>
        </w:rPr>
        <w:t xml:space="preserve">incluyen un mínimo de 1 parte interesada (funcionarios del gobierno a nivel nacional y </w:t>
      </w:r>
      <w:proofErr w:type="spellStart"/>
      <w:r w:rsidRPr="00E52962">
        <w:rPr>
          <w:rFonts w:ascii="Arial" w:eastAsia="Arial" w:hAnsi="Arial" w:cs="Arial"/>
          <w:sz w:val="22"/>
          <w:szCs w:val="22"/>
          <w:lang w:val="es-ES"/>
        </w:rPr>
        <w:t>subnacional</w:t>
      </w:r>
      <w:proofErr w:type="spellEnd"/>
      <w:r w:rsidRPr="00E52962">
        <w:rPr>
          <w:rFonts w:ascii="Arial" w:eastAsia="Arial" w:hAnsi="Arial" w:cs="Arial"/>
          <w:sz w:val="22"/>
          <w:szCs w:val="22"/>
          <w:lang w:val="es-ES"/>
        </w:rPr>
        <w:t>; miembros y líderes de comunidades; usuarios del conocimiento; profesionales), 1 especialista en ciencias sociales y 1 especialista en ciencias naturales. Cada equipo debe designar a un jefe de equipo, que presentará la solicitud de manifestaciones de interés en nombre del equipo. Se anima a los académicos que se encuentren en la fase inicial de su carrera y a los que estén a mitad de la misma a que presenten su candidatura como jefes de equipo.</w:t>
      </w:r>
    </w:p>
    <w:p w14:paraId="1DF2997E" w14:textId="77777777" w:rsidR="00631DCC" w:rsidRPr="00E52962" w:rsidRDefault="00631DCC" w:rsidP="00631DCC">
      <w:pPr>
        <w:pStyle w:val="Prrafodelista"/>
        <w:numPr>
          <w:ilvl w:val="1"/>
          <w:numId w:val="11"/>
        </w:numPr>
        <w:ind w:left="709" w:hanging="283"/>
        <w:rPr>
          <w:lang w:val="es-ES"/>
        </w:rPr>
      </w:pPr>
      <w:r w:rsidRPr="00E52962">
        <w:rPr>
          <w:rFonts w:ascii="Arial" w:eastAsia="Arial" w:hAnsi="Arial" w:cs="Arial"/>
          <w:sz w:val="22"/>
          <w:szCs w:val="22"/>
          <w:lang w:val="es-ES"/>
        </w:rPr>
        <w:t xml:space="preserve">Solicitudes individuales: funcionarios de la administración pública, de nivel nacional y </w:t>
      </w:r>
      <w:proofErr w:type="spellStart"/>
      <w:r w:rsidRPr="00E52962">
        <w:rPr>
          <w:rFonts w:ascii="Arial" w:eastAsia="Arial" w:hAnsi="Arial" w:cs="Arial"/>
          <w:sz w:val="22"/>
          <w:szCs w:val="22"/>
          <w:lang w:val="es-ES"/>
        </w:rPr>
        <w:t>subnacional</w:t>
      </w:r>
      <w:proofErr w:type="spellEnd"/>
      <w:r w:rsidRPr="00E52962">
        <w:rPr>
          <w:rFonts w:ascii="Arial" w:eastAsia="Arial" w:hAnsi="Arial" w:cs="Arial"/>
          <w:sz w:val="22"/>
          <w:szCs w:val="22"/>
          <w:lang w:val="es-ES"/>
        </w:rPr>
        <w:t xml:space="preserve">, que estén interesados en trabajar en red o ser emparejados con equipos de DT durante la formación virtual. </w:t>
      </w:r>
    </w:p>
    <w:p w14:paraId="7EF72959" w14:textId="77777777" w:rsidR="00631DCC" w:rsidRPr="00E52962" w:rsidRDefault="00631DCC" w:rsidP="00631DCC">
      <w:pPr>
        <w:pStyle w:val="Prrafodelista"/>
        <w:numPr>
          <w:ilvl w:val="0"/>
          <w:numId w:val="1"/>
        </w:numPr>
        <w:rPr>
          <w:rFonts w:ascii="Arial" w:eastAsia="Arial" w:hAnsi="Arial" w:cs="Arial"/>
          <w:sz w:val="22"/>
          <w:szCs w:val="22"/>
          <w:lang w:val="es-ES"/>
        </w:rPr>
      </w:pPr>
      <w:r w:rsidRPr="00E52962">
        <w:rPr>
          <w:rFonts w:ascii="Arial" w:eastAsia="Arial" w:hAnsi="Arial" w:cs="Arial"/>
          <w:sz w:val="22"/>
          <w:szCs w:val="22"/>
          <w:lang w:val="es-ES"/>
        </w:rPr>
        <w:t xml:space="preserve">Se anima a las personas que pertenezcan a grupos históricamente </w:t>
      </w:r>
      <w:proofErr w:type="spellStart"/>
      <w:r w:rsidRPr="00E52962">
        <w:rPr>
          <w:rFonts w:ascii="Arial" w:eastAsia="Arial" w:hAnsi="Arial" w:cs="Arial"/>
          <w:sz w:val="22"/>
          <w:szCs w:val="22"/>
          <w:lang w:val="es-ES"/>
        </w:rPr>
        <w:t>subrepresentados</w:t>
      </w:r>
      <w:proofErr w:type="spellEnd"/>
      <w:r w:rsidRPr="00E52962">
        <w:rPr>
          <w:rFonts w:ascii="Arial" w:eastAsia="Arial" w:hAnsi="Arial" w:cs="Arial"/>
          <w:sz w:val="22"/>
          <w:szCs w:val="22"/>
          <w:lang w:val="es-ES"/>
        </w:rPr>
        <w:t xml:space="preserve"> en las ciencias a que presenten su candidatura y asuman responsabilidades clave en el proyecto, incluida la dirección del equipo. Los grupos </w:t>
      </w:r>
      <w:proofErr w:type="spellStart"/>
      <w:r>
        <w:rPr>
          <w:rFonts w:ascii="Arial" w:eastAsia="Arial" w:hAnsi="Arial" w:cs="Arial"/>
          <w:sz w:val="22"/>
          <w:szCs w:val="22"/>
          <w:lang w:val="es-ES"/>
        </w:rPr>
        <w:t>sub</w:t>
      </w:r>
      <w:r w:rsidRPr="00E52962">
        <w:rPr>
          <w:rFonts w:ascii="Arial" w:eastAsia="Arial" w:hAnsi="Arial" w:cs="Arial"/>
          <w:sz w:val="22"/>
          <w:szCs w:val="22"/>
          <w:lang w:val="es-ES"/>
        </w:rPr>
        <w:t>representados</w:t>
      </w:r>
      <w:proofErr w:type="spellEnd"/>
      <w:r w:rsidRPr="00E52962">
        <w:rPr>
          <w:rFonts w:ascii="Arial" w:eastAsia="Arial" w:hAnsi="Arial" w:cs="Arial"/>
          <w:sz w:val="22"/>
          <w:szCs w:val="22"/>
          <w:lang w:val="es-ES"/>
        </w:rPr>
        <w:t xml:space="preserve"> incluyen, entre otros, a las mujeres, los pueblos indígenas, las personas con discapacidad, los miembros de minorías visibles/grupos raciales y los miembros de las comunidades LGBTQ+. </w:t>
      </w:r>
    </w:p>
    <w:p w14:paraId="6AFA2C79" w14:textId="77777777" w:rsidR="00631DCC" w:rsidRPr="00E52962" w:rsidRDefault="00631DCC" w:rsidP="00631DCC">
      <w:pPr>
        <w:pStyle w:val="Prrafodelista"/>
        <w:numPr>
          <w:ilvl w:val="0"/>
          <w:numId w:val="1"/>
        </w:numPr>
        <w:rPr>
          <w:rFonts w:ascii="Arial" w:eastAsia="Arial" w:hAnsi="Arial" w:cs="Arial"/>
          <w:sz w:val="22"/>
          <w:szCs w:val="22"/>
          <w:lang w:val="es-ES"/>
        </w:rPr>
      </w:pPr>
      <w:r w:rsidRPr="00E52962">
        <w:rPr>
          <w:rFonts w:ascii="Arial" w:eastAsia="Arial" w:hAnsi="Arial" w:cs="Arial"/>
          <w:sz w:val="22"/>
          <w:szCs w:val="22"/>
          <w:lang w:val="es-ES"/>
        </w:rPr>
        <w:t>Los equipos deben incluir un plan de equidad, diversidad e inclusión (EDI) en su propuesta para explicar cómo incorporarán las consideraciones de EDI en la composición del equipo de investigación y en las actividades de investigación.</w:t>
      </w:r>
    </w:p>
    <w:p w14:paraId="1A890297" w14:textId="77777777" w:rsidR="00631DCC" w:rsidRPr="00E52962" w:rsidRDefault="00631DCC" w:rsidP="00631DCC">
      <w:pPr>
        <w:spacing w:line="276" w:lineRule="auto"/>
        <w:rPr>
          <w:rFonts w:ascii="Arial" w:eastAsia="Arial" w:hAnsi="Arial" w:cs="Arial"/>
          <w:sz w:val="22"/>
          <w:szCs w:val="22"/>
          <w:lang w:val="es-ES"/>
        </w:rPr>
      </w:pPr>
    </w:p>
    <w:p w14:paraId="15350C3C" w14:textId="77777777" w:rsidR="00631DCC" w:rsidRPr="00E52962" w:rsidRDefault="00631DCC" w:rsidP="00631DCC">
      <w:pPr>
        <w:pStyle w:val="Ttulo2"/>
        <w:rPr>
          <w:lang w:val="es-ES"/>
        </w:rPr>
      </w:pPr>
      <w:r w:rsidRPr="00E52962">
        <w:rPr>
          <w:lang w:val="es-ES"/>
        </w:rPr>
        <w:t>Fase 2</w:t>
      </w:r>
    </w:p>
    <w:p w14:paraId="2F23282C" w14:textId="77777777" w:rsidR="00631DCC" w:rsidRPr="00E52962" w:rsidRDefault="00631DCC" w:rsidP="00631DCC">
      <w:pPr>
        <w:jc w:val="both"/>
        <w:rPr>
          <w:rFonts w:ascii="Arial" w:hAnsi="Arial" w:cs="Arial"/>
          <w:color w:val="000000" w:themeColor="text1"/>
          <w:sz w:val="22"/>
          <w:szCs w:val="22"/>
          <w:lang w:val="es-ES"/>
        </w:rPr>
      </w:pPr>
      <w:r w:rsidRPr="00E52962">
        <w:rPr>
          <w:rFonts w:ascii="Arial" w:hAnsi="Arial" w:cs="Arial"/>
          <w:color w:val="000000" w:themeColor="text1"/>
          <w:sz w:val="22"/>
          <w:szCs w:val="22"/>
          <w:lang w:val="es-ES"/>
        </w:rPr>
        <w:t xml:space="preserve">Las </w:t>
      </w:r>
      <w:proofErr w:type="spellStart"/>
      <w:r w:rsidRPr="00E52962">
        <w:rPr>
          <w:rFonts w:ascii="Arial" w:hAnsi="Arial" w:cs="Arial"/>
          <w:color w:val="000000" w:themeColor="text1"/>
          <w:sz w:val="22"/>
          <w:szCs w:val="22"/>
          <w:lang w:val="es-ES"/>
        </w:rPr>
        <w:t>prepropuestas</w:t>
      </w:r>
      <w:proofErr w:type="spellEnd"/>
      <w:r w:rsidRPr="00E52962">
        <w:rPr>
          <w:rFonts w:ascii="Arial" w:hAnsi="Arial" w:cs="Arial"/>
          <w:color w:val="000000" w:themeColor="text1"/>
          <w:sz w:val="22"/>
          <w:szCs w:val="22"/>
          <w:lang w:val="es-ES"/>
        </w:rPr>
        <w:t xml:space="preserve"> presentadas al final de la Fase 1 serán evaluadas por un comité y las mejores propuestas serán seleccionadas para pasar a la Fase 2. </w:t>
      </w:r>
      <w:r w:rsidRPr="00E52962">
        <w:rPr>
          <w:rFonts w:ascii="Arial" w:hAnsi="Arial" w:cs="Arial"/>
          <w:sz w:val="22"/>
          <w:szCs w:val="22"/>
          <w:lang w:val="es-ES"/>
        </w:rPr>
        <w:t xml:space="preserve">Se invitará a </w:t>
      </w:r>
      <w:r w:rsidRPr="00E52962">
        <w:rPr>
          <w:rFonts w:ascii="Arial" w:hAnsi="Arial" w:cs="Arial"/>
          <w:color w:val="000000" w:themeColor="text1"/>
          <w:sz w:val="22"/>
          <w:szCs w:val="22"/>
          <w:lang w:val="es-ES"/>
        </w:rPr>
        <w:t xml:space="preserve">las personas </w:t>
      </w:r>
      <w:r w:rsidRPr="00E52962">
        <w:rPr>
          <w:rFonts w:ascii="Arial" w:hAnsi="Arial" w:cs="Arial"/>
          <w:sz w:val="22"/>
          <w:szCs w:val="22"/>
          <w:lang w:val="es-ES"/>
        </w:rPr>
        <w:t>de los equipos seleccionados a participar en un taller de formación regional presencial de una semana de duración.</w:t>
      </w:r>
    </w:p>
    <w:p w14:paraId="72C8F9AC" w14:textId="77777777" w:rsidR="00631DCC" w:rsidRPr="00E52962" w:rsidRDefault="00631DCC" w:rsidP="00631DCC">
      <w:pPr>
        <w:jc w:val="both"/>
        <w:rPr>
          <w:rFonts w:ascii="Arial" w:hAnsi="Arial" w:cs="Arial"/>
          <w:color w:val="000000" w:themeColor="text1"/>
          <w:sz w:val="22"/>
          <w:szCs w:val="22"/>
          <w:lang w:val="es-ES"/>
        </w:rPr>
      </w:pPr>
    </w:p>
    <w:p w14:paraId="231F2596" w14:textId="77777777" w:rsidR="00631DCC" w:rsidRPr="00E52962" w:rsidRDefault="00631DCC" w:rsidP="00631DCC">
      <w:pPr>
        <w:pStyle w:val="Ttulo2"/>
        <w:rPr>
          <w:lang w:val="es-ES"/>
        </w:rPr>
      </w:pPr>
      <w:r w:rsidRPr="00E52962">
        <w:rPr>
          <w:lang w:val="es-ES"/>
        </w:rPr>
        <w:t>Fase 3</w:t>
      </w:r>
    </w:p>
    <w:p w14:paraId="7CF1A6C2" w14:textId="77777777" w:rsidR="00631DCC" w:rsidRPr="00E52962" w:rsidRDefault="00631DCC" w:rsidP="00631DCC">
      <w:pPr>
        <w:spacing w:line="276" w:lineRule="auto"/>
        <w:rPr>
          <w:rFonts w:ascii="Arial" w:eastAsia="Arial" w:hAnsi="Arial" w:cs="Arial"/>
          <w:sz w:val="22"/>
          <w:szCs w:val="22"/>
          <w:lang w:val="es-ES"/>
        </w:rPr>
      </w:pPr>
      <w:r w:rsidRPr="00E52962">
        <w:rPr>
          <w:rFonts w:ascii="Arial" w:hAnsi="Arial" w:cs="Arial"/>
          <w:sz w:val="22"/>
          <w:szCs w:val="22"/>
          <w:lang w:val="es-ES"/>
        </w:rPr>
        <w:lastRenderedPageBreak/>
        <w:t xml:space="preserve">Una vez finalizada la Fase 2, </w:t>
      </w:r>
      <w:r w:rsidRPr="00E52962">
        <w:rPr>
          <w:rFonts w:ascii="Arial" w:hAnsi="Arial" w:cs="Arial"/>
          <w:color w:val="000000" w:themeColor="text1"/>
          <w:sz w:val="22"/>
          <w:szCs w:val="22"/>
          <w:lang w:val="es-ES"/>
        </w:rPr>
        <w:t xml:space="preserve">los equipos de TD presentarán una propuesta final para la financiación de la subvención inicial. </w:t>
      </w:r>
      <w:r w:rsidRPr="00E52962">
        <w:rPr>
          <w:rFonts w:ascii="Arial" w:eastAsia="Arial" w:hAnsi="Arial" w:cs="Arial"/>
          <w:sz w:val="22"/>
          <w:szCs w:val="22"/>
          <w:lang w:val="es-ES"/>
        </w:rPr>
        <w:t>El líder del equipo debe tener la capacidad de recibir y gestionar fondos de investigación internacionales, incluyendo sub-concesiones a instituciones de otros países.</w:t>
      </w:r>
    </w:p>
    <w:p w14:paraId="5D975450" w14:textId="77777777" w:rsidR="00631DCC" w:rsidRPr="00E52962" w:rsidRDefault="00631DCC" w:rsidP="00631DCC">
      <w:pPr>
        <w:spacing w:line="276" w:lineRule="auto"/>
        <w:rPr>
          <w:rFonts w:ascii="Arial" w:eastAsia="Arial" w:hAnsi="Arial" w:cs="Arial"/>
          <w:sz w:val="22"/>
          <w:szCs w:val="22"/>
          <w:lang w:val="es-ES"/>
        </w:rPr>
      </w:pPr>
    </w:p>
    <w:p w14:paraId="118A7A60" w14:textId="77777777" w:rsidR="00631DCC" w:rsidRPr="00E52962" w:rsidRDefault="00631DCC" w:rsidP="00631DCC">
      <w:pPr>
        <w:pStyle w:val="Ttulo1"/>
        <w:rPr>
          <w:b w:val="0"/>
          <w:bCs/>
          <w:lang w:val="es-ES"/>
        </w:rPr>
      </w:pPr>
      <w:r w:rsidRPr="00E52962">
        <w:rPr>
          <w:lang w:val="es-ES"/>
        </w:rPr>
        <w:t xml:space="preserve">Correo electrónico de contacto: </w:t>
      </w:r>
      <w:r w:rsidRPr="00E52962">
        <w:rPr>
          <w:b w:val="0"/>
          <w:bCs/>
          <w:lang w:val="es-ES"/>
        </w:rPr>
        <w:t>iai_science@dir.iai.int</w:t>
      </w:r>
    </w:p>
    <w:bookmarkEnd w:id="0"/>
    <w:p w14:paraId="08856B47" w14:textId="77777777" w:rsidR="00631DCC" w:rsidRPr="00E52962" w:rsidRDefault="00631DCC" w:rsidP="00631DCC">
      <w:pPr>
        <w:spacing w:line="276" w:lineRule="auto"/>
        <w:rPr>
          <w:rFonts w:ascii="Arial" w:hAnsi="Arial" w:cs="Arial"/>
          <w:color w:val="000000" w:themeColor="text1"/>
          <w:sz w:val="22"/>
          <w:szCs w:val="22"/>
          <w:lang w:val="es-ES"/>
        </w:rPr>
      </w:pPr>
    </w:p>
    <w:p w14:paraId="6CFB912D" w14:textId="047C3325" w:rsidR="00631DCC" w:rsidRPr="00E52962" w:rsidRDefault="00631DCC" w:rsidP="00631DCC">
      <w:pPr>
        <w:pStyle w:val="Ttulo1"/>
        <w:spacing w:after="120"/>
        <w:rPr>
          <w:color w:val="000000" w:themeColor="text1"/>
          <w:lang w:val="es-ES"/>
        </w:rPr>
      </w:pPr>
      <w:r w:rsidRPr="00E52962">
        <w:rPr>
          <w:lang w:val="es-ES"/>
        </w:rPr>
        <w:t>Organizadores</w:t>
      </w:r>
    </w:p>
    <w:p w14:paraId="09FD65B6" w14:textId="77777777" w:rsidR="00631DCC" w:rsidRPr="00E52962" w:rsidRDefault="00631DCC" w:rsidP="00631DCC">
      <w:pPr>
        <w:rPr>
          <w:rFonts w:ascii="Arial" w:hAnsi="Arial" w:cs="Arial"/>
          <w:i/>
          <w:iCs/>
          <w:sz w:val="20"/>
          <w:szCs w:val="20"/>
          <w:lang w:val="es-ES"/>
        </w:rPr>
      </w:pPr>
      <w:r w:rsidRPr="00E52962">
        <w:rPr>
          <w:rFonts w:ascii="Arial" w:hAnsi="Arial" w:cs="Arial"/>
          <w:i/>
          <w:iCs/>
          <w:sz w:val="20"/>
          <w:szCs w:val="20"/>
          <w:lang w:val="es-ES"/>
        </w:rPr>
        <w:t>IAI</w:t>
      </w:r>
    </w:p>
    <w:p w14:paraId="16D66036" w14:textId="77777777" w:rsidR="00326CAC" w:rsidRDefault="00631DCC" w:rsidP="00326CAC">
      <w:pPr>
        <w:ind w:firstLine="720"/>
        <w:jc w:val="both"/>
        <w:rPr>
          <w:rFonts w:ascii="Arial" w:hAnsi="Arial" w:cs="Arial"/>
          <w:color w:val="000000" w:themeColor="text1"/>
          <w:sz w:val="20"/>
          <w:szCs w:val="20"/>
          <w:lang w:val="es-ES"/>
        </w:rPr>
      </w:pPr>
      <w:r w:rsidRPr="00E52962">
        <w:rPr>
          <w:rFonts w:ascii="Arial" w:hAnsi="Arial" w:cs="Arial"/>
          <w:color w:val="000000" w:themeColor="text1"/>
          <w:sz w:val="20"/>
          <w:szCs w:val="20"/>
          <w:lang w:val="es-ES"/>
        </w:rPr>
        <w:t xml:space="preserve">El Instituto Interamericano para la Investigación del Cambio Global (IAI) se encuentra en la intersección de la ciencia y la política. Como organización regional intergubernamental, con 19 países miembros de las Américas (Argentina, Bolivia, Brasil, Canadá, Chile, Colombia, Costa Rica, Cuba, Ecuador, Estados Unidos de América, Guatemala, Jamaica, México, Panamá, Paraguay, Perú, República Dominicana, Uruguay y Venezuela), el IAI tiene como objetivo proporcionar a las naciones las herramientas y las capacidades institucionales para afrontar mejor los retos que plantea el cambio global. El cambio ambiental global (CAG) es definido por el IAI como las interacciones de los procesos biológicos, químicos, físicos y sociales que regulan los cambios en el funcionamiento del sistema de la Tierra, incluyendo las formas particulares en que estos cambios son influenciados por las actividades humanas y su impacto. Este esfuerzo colaborativo y multinacional está guiado por el entendimiento de que el cambio global es urgente, complejo, dinámico y con considerables incertidumbres. </w:t>
      </w:r>
    </w:p>
    <w:p w14:paraId="2BF6B3FB" w14:textId="4F4EA32A" w:rsidR="00631DCC" w:rsidRPr="00326CAC" w:rsidRDefault="00631DCC" w:rsidP="00326CAC">
      <w:pPr>
        <w:ind w:firstLine="720"/>
        <w:jc w:val="both"/>
        <w:rPr>
          <w:rFonts w:ascii="Arial" w:hAnsi="Arial" w:cs="Arial"/>
          <w:color w:val="000000" w:themeColor="text1"/>
          <w:sz w:val="20"/>
          <w:szCs w:val="20"/>
          <w:lang w:val="es-ES"/>
        </w:rPr>
      </w:pPr>
      <w:r w:rsidRPr="00E52962">
        <w:rPr>
          <w:rFonts w:ascii="Arial" w:hAnsi="Arial" w:cs="Arial"/>
          <w:color w:val="000000" w:themeColor="text1"/>
          <w:sz w:val="20"/>
          <w:szCs w:val="20"/>
          <w:lang w:val="es-ES"/>
        </w:rPr>
        <w:t xml:space="preserve">El IAI apoya la ciencia que mejora la capacidad de las Américas para enfrentar y prosperar bajo el cambio global, logrando un impacto positivo en la sostenibilidad de la región. Se necesitan enfoques científicos y de capacitación innovadores para aumentar las capacidades institucionales y de investigación en las Américas. Estos esfuerzos se basan en los principios fundacionales del IAI, identificados en el Plan Estratégico: ciencia </w:t>
      </w:r>
      <w:proofErr w:type="spellStart"/>
      <w:r w:rsidRPr="00E52962">
        <w:rPr>
          <w:rFonts w:ascii="Arial" w:hAnsi="Arial" w:cs="Arial"/>
          <w:color w:val="000000" w:themeColor="text1"/>
          <w:sz w:val="20"/>
          <w:szCs w:val="20"/>
          <w:lang w:val="es-ES"/>
        </w:rPr>
        <w:t>transdisciplinaria</w:t>
      </w:r>
      <w:proofErr w:type="spellEnd"/>
      <w:r w:rsidRPr="00E52962">
        <w:rPr>
          <w:rFonts w:ascii="Arial" w:hAnsi="Arial" w:cs="Arial"/>
          <w:color w:val="000000" w:themeColor="text1"/>
          <w:sz w:val="20"/>
          <w:szCs w:val="20"/>
          <w:lang w:val="es-ES"/>
        </w:rPr>
        <w:t xml:space="preserve"> (TD), diseño participativo e inclusivo, ciencia innovadora y basada en soluciones, análisis e integración </w:t>
      </w:r>
      <w:proofErr w:type="spellStart"/>
      <w:r w:rsidRPr="00E52962">
        <w:rPr>
          <w:rFonts w:ascii="Arial" w:hAnsi="Arial" w:cs="Arial"/>
          <w:color w:val="000000" w:themeColor="text1"/>
          <w:sz w:val="20"/>
          <w:szCs w:val="20"/>
          <w:lang w:val="es-ES"/>
        </w:rPr>
        <w:t>multiescalar</w:t>
      </w:r>
      <w:proofErr w:type="spellEnd"/>
      <w:r w:rsidRPr="00E52962">
        <w:rPr>
          <w:rFonts w:ascii="Arial" w:hAnsi="Arial" w:cs="Arial"/>
          <w:color w:val="000000" w:themeColor="text1"/>
          <w:sz w:val="20"/>
          <w:szCs w:val="20"/>
          <w:lang w:val="es-ES"/>
        </w:rPr>
        <w:t>, ciencia/datos abiertos, divulgación científica y movilización del conocimiento, alineación con los marcos de gobernanza ambiental, cuando corresponda, y fortalecimiento de las capacidades en la interfaz ciencia-política. Los detalles se encuentran en la agenda científica del IAI</w:t>
      </w:r>
      <w:r w:rsidR="00C73745">
        <w:rPr>
          <w:rFonts w:ascii="Arial" w:hAnsi="Arial" w:cs="Arial"/>
          <w:color w:val="000000" w:themeColor="text1"/>
          <w:sz w:val="20"/>
          <w:szCs w:val="20"/>
          <w:lang w:val="es-ES"/>
        </w:rPr>
        <w:t xml:space="preserve"> (</w:t>
      </w:r>
      <w:hyperlink r:id="rId11" w:history="1">
        <w:r w:rsidR="00C73745" w:rsidRPr="00326CAC">
          <w:rPr>
            <w:rStyle w:val="Hipervnculo"/>
            <w:rFonts w:ascii="Arial" w:hAnsi="Arial" w:cs="Arial"/>
            <w:sz w:val="20"/>
            <w:szCs w:val="20"/>
            <w:lang w:val="es-ES"/>
          </w:rPr>
          <w:t>https://www.iai.int/es/research/agenda</w:t>
        </w:r>
      </w:hyperlink>
      <w:r w:rsidRPr="00326CAC">
        <w:rPr>
          <w:rFonts w:ascii="Arial" w:hAnsi="Arial" w:cs="Arial"/>
          <w:sz w:val="20"/>
          <w:szCs w:val="20"/>
          <w:lang w:val="es-ES"/>
        </w:rPr>
        <w:t xml:space="preserve">) </w:t>
      </w:r>
      <w:r w:rsidRPr="00326CAC">
        <w:rPr>
          <w:rFonts w:ascii="Arial" w:hAnsi="Arial" w:cs="Arial"/>
          <w:color w:val="000000" w:themeColor="text1"/>
          <w:sz w:val="20"/>
          <w:szCs w:val="20"/>
          <w:lang w:val="es-ES"/>
        </w:rPr>
        <w:t xml:space="preserve">y el plan estratégico </w:t>
      </w:r>
      <w:r w:rsidR="00326CAC" w:rsidRPr="00326CAC">
        <w:rPr>
          <w:rFonts w:ascii="Arial" w:hAnsi="Arial" w:cs="Arial"/>
          <w:sz w:val="20"/>
          <w:szCs w:val="20"/>
          <w:lang w:val="es-ES"/>
        </w:rPr>
        <w:t>(</w:t>
      </w:r>
      <w:hyperlink r:id="rId12" w:history="1">
        <w:r w:rsidR="00326CAC" w:rsidRPr="00326CAC">
          <w:rPr>
            <w:rStyle w:val="Hipervnculo"/>
            <w:rFonts w:ascii="Arial" w:hAnsi="Arial" w:cs="Arial"/>
            <w:sz w:val="20"/>
            <w:szCs w:val="20"/>
            <w:lang w:val="es-ES"/>
          </w:rPr>
          <w:t>https://www.iai.int/pdf/es/Strategicplan-sp.pdf</w:t>
        </w:r>
      </w:hyperlink>
      <w:r w:rsidRPr="00326CAC">
        <w:rPr>
          <w:rFonts w:ascii="Arial" w:hAnsi="Arial" w:cs="Arial"/>
          <w:color w:val="000000" w:themeColor="text1"/>
          <w:sz w:val="20"/>
          <w:szCs w:val="20"/>
          <w:lang w:val="es-ES"/>
        </w:rPr>
        <w:t>).</w:t>
      </w:r>
    </w:p>
    <w:p w14:paraId="3263776E" w14:textId="77777777" w:rsidR="00631DCC" w:rsidRPr="00E52962" w:rsidRDefault="00631DCC" w:rsidP="00631DCC">
      <w:pPr>
        <w:rPr>
          <w:rFonts w:ascii="Arial" w:hAnsi="Arial" w:cs="Arial"/>
          <w:sz w:val="20"/>
          <w:szCs w:val="20"/>
          <w:lang w:val="es-ES"/>
        </w:rPr>
      </w:pPr>
    </w:p>
    <w:p w14:paraId="2CE9893C" w14:textId="77777777" w:rsidR="00631DCC" w:rsidRPr="00E52962" w:rsidRDefault="00631DCC" w:rsidP="00631DCC">
      <w:pPr>
        <w:rPr>
          <w:rFonts w:ascii="Arial" w:hAnsi="Arial" w:cs="Arial"/>
          <w:i/>
          <w:iCs/>
          <w:sz w:val="20"/>
          <w:szCs w:val="20"/>
          <w:lang w:val="es-ES"/>
        </w:rPr>
      </w:pPr>
      <w:r w:rsidRPr="00E52962">
        <w:rPr>
          <w:rFonts w:ascii="Arial" w:hAnsi="Arial" w:cs="Arial"/>
          <w:i/>
          <w:iCs/>
          <w:sz w:val="20"/>
          <w:szCs w:val="20"/>
          <w:lang w:val="es-ES"/>
        </w:rPr>
        <w:t>GCCHE</w:t>
      </w:r>
    </w:p>
    <w:p w14:paraId="16428736" w14:textId="1C61B8CD" w:rsidR="00631DCC" w:rsidRPr="00E52962" w:rsidRDefault="00631DCC" w:rsidP="00631DCC">
      <w:pPr>
        <w:rPr>
          <w:sz w:val="20"/>
          <w:szCs w:val="20"/>
          <w:lang w:val="es-ES"/>
        </w:rPr>
      </w:pPr>
      <w:r w:rsidRPr="00E52962">
        <w:rPr>
          <w:rFonts w:ascii="Arial" w:hAnsi="Arial" w:cs="Arial"/>
          <w:color w:val="000000" w:themeColor="text1"/>
          <w:sz w:val="20"/>
          <w:szCs w:val="20"/>
          <w:lang w:val="es-ES"/>
        </w:rPr>
        <w:tab/>
        <w:t xml:space="preserve">El Consorcio Mundial de Educación sobre el Clima y la Salud (GCCHE) tiene como objetivo promover y desarrollar la educación sobre el clima y la salud en todo el mundo, tanto en el ámbito sanitario como en el académico. Sus miembros representan una coalición mundial de organizaciones; su secretaría tiene su sede en la Universidad de Columbia. El Consorcio aprovecha la experiencia de más de 240 instituciones miembros y socios para crear mejores prácticas, formaciones educativas y recursos que puedan ser utilizados por cualquier parte interesada. La visión de la GCCHE es que todos los profesionales de la salud del mundo -médicos, enfermeras, profesionales de la salud pública, profesionales de la salud mental y especialistas de la salud aliados- trabajen juntos para prevenir, reducir y responder a los impactos del cambio climático en la salud. La misión de la GCCHE es unir a las instituciones de formación de profesionales de la salud, a las sociedades sanitarias y a las organizaciones sanitarias regionales para crear un sector de la salud mundial preparado para el clima, preparado para movilizar y liderar la promoción de la salud y la respuesta en la era del cambio climático, al tiempo que se restablece la salud del planeta. Más información aquí: </w:t>
      </w:r>
      <w:hyperlink r:id="rId13" w:history="1">
        <w:r w:rsidR="00326CAC" w:rsidRPr="00547A66">
          <w:rPr>
            <w:rStyle w:val="Hipervnculo"/>
            <w:rFonts w:ascii="Arial" w:hAnsi="Arial" w:cs="Arial"/>
            <w:sz w:val="20"/>
            <w:szCs w:val="20"/>
            <w:lang w:val="es-ES"/>
          </w:rPr>
          <w:t>https://www.publichealth.columbia.edu/research/global-consortium-climate-and-health-education</w:t>
        </w:r>
      </w:hyperlink>
    </w:p>
    <w:p w14:paraId="1149CFE1" w14:textId="77777777" w:rsidR="00631DCC" w:rsidRPr="00E52962" w:rsidRDefault="00631DCC" w:rsidP="00631DCC">
      <w:pPr>
        <w:rPr>
          <w:rFonts w:ascii="Arial" w:hAnsi="Arial" w:cs="Arial"/>
          <w:color w:val="000000" w:themeColor="text1"/>
          <w:sz w:val="20"/>
          <w:szCs w:val="20"/>
          <w:lang w:val="es-ES"/>
        </w:rPr>
      </w:pPr>
    </w:p>
    <w:p w14:paraId="57B89320" w14:textId="77777777" w:rsidR="00631DCC" w:rsidRPr="00E52962" w:rsidRDefault="00631DCC" w:rsidP="00631DCC">
      <w:pPr>
        <w:rPr>
          <w:rFonts w:ascii="Arial" w:hAnsi="Arial" w:cs="Arial"/>
          <w:i/>
          <w:iCs/>
          <w:sz w:val="20"/>
          <w:szCs w:val="20"/>
          <w:lang w:val="es-ES"/>
        </w:rPr>
      </w:pPr>
      <w:r w:rsidRPr="00E52962">
        <w:rPr>
          <w:rFonts w:ascii="Arial" w:hAnsi="Arial" w:cs="Arial"/>
          <w:i/>
          <w:iCs/>
          <w:sz w:val="20"/>
          <w:szCs w:val="20"/>
          <w:lang w:val="es-ES"/>
        </w:rPr>
        <w:t>OPS</w:t>
      </w:r>
    </w:p>
    <w:p w14:paraId="5EF108CA" w14:textId="678CB7A7" w:rsidR="00631DCC" w:rsidRPr="00E52962" w:rsidRDefault="00631DCC" w:rsidP="00631DCC">
      <w:pPr>
        <w:rPr>
          <w:sz w:val="20"/>
          <w:szCs w:val="20"/>
          <w:lang w:val="es-ES"/>
        </w:rPr>
      </w:pPr>
      <w:r w:rsidRPr="00E52962">
        <w:rPr>
          <w:rFonts w:ascii="Arial" w:hAnsi="Arial" w:cs="Arial"/>
          <w:sz w:val="20"/>
          <w:szCs w:val="20"/>
          <w:lang w:val="es-ES"/>
        </w:rPr>
        <w:tab/>
        <w:t xml:space="preserve">La Organización Panamericana de la Salud (OPS) es el organismo sanitario internacional especializado para las Américas. Trabaja con países de toda la región para mejorar y proteger la salud </w:t>
      </w:r>
      <w:r w:rsidRPr="00E52962">
        <w:rPr>
          <w:rFonts w:ascii="Arial" w:hAnsi="Arial" w:cs="Arial"/>
          <w:sz w:val="20"/>
          <w:szCs w:val="20"/>
          <w:lang w:val="es-ES"/>
        </w:rPr>
        <w:lastRenderedPageBreak/>
        <w:t>de las personas. La OPS participa en la cooperación técnica con sus países miembros para luchar contra las enfermedades transmisibles y no transmisibles y sus causas, para fortalecer los sistemas de salud y para responder a las emergencias y desastres. La OPS se compromete a garantizar que todas las personas tengan acceso a la atención sanitaria que necesitan, cuando la necesitan, con calidad y sin temor a caer en la pobreza. Para avanzar en estos objetivos, la OPS promueve la cooperación técnica entre los países y trabaja en colaboración con los ministerios de salud y otros organismos gubernamentales, organizaciones de la sociedad civil, otros organismos internacionales, universidades, organismos de seguridad social, grupos comunitarios y otros socios. Bajo el liderazgo de sus 51 países y territorios miembros, la OPS establece las prioridades sanitarias regionales y moviliza la acción para abordar problemas de salud que no respetan fronteras y que, en muchos casos, ponen en peligro la sostenibilida</w:t>
      </w:r>
      <w:r w:rsidR="00C73745">
        <w:rPr>
          <w:rFonts w:ascii="Arial" w:hAnsi="Arial" w:cs="Arial"/>
          <w:sz w:val="20"/>
          <w:szCs w:val="20"/>
          <w:lang w:val="es-ES"/>
        </w:rPr>
        <w:t xml:space="preserve">d de los sistemas de salud. </w:t>
      </w:r>
      <w:r w:rsidR="00C73745" w:rsidRPr="00C73745">
        <w:rPr>
          <w:rFonts w:ascii="Arial" w:hAnsi="Arial" w:cs="Arial"/>
          <w:sz w:val="20"/>
          <w:szCs w:val="20"/>
          <w:lang w:val="es-ES"/>
        </w:rPr>
        <w:t>La OPS viste dos sombreros institucionales: es la agencia especializada en salud del Sistema Interamericano y sirve como la oficina regional para las Américas de la Organización Mundial de la Salud (OMS).</w:t>
      </w:r>
      <w:r w:rsidRPr="00E52962">
        <w:rPr>
          <w:rFonts w:ascii="Arial" w:hAnsi="Arial" w:cs="Arial"/>
          <w:sz w:val="20"/>
          <w:szCs w:val="20"/>
          <w:lang w:val="es-ES"/>
        </w:rPr>
        <w:t xml:space="preserve"> Más información aquí: </w:t>
      </w:r>
      <w:hyperlink r:id="rId14" w:history="1">
        <w:r w:rsidR="00C73745" w:rsidRPr="00C73745">
          <w:rPr>
            <w:rStyle w:val="Hipervnculo"/>
            <w:rFonts w:ascii="Arial" w:hAnsi="Arial" w:cs="Arial"/>
            <w:sz w:val="20"/>
            <w:szCs w:val="20"/>
            <w:lang w:val="es-ES"/>
          </w:rPr>
          <w:t>https://www.paho.org/es</w:t>
        </w:r>
      </w:hyperlink>
    </w:p>
    <w:p w14:paraId="5FEB293D" w14:textId="77777777" w:rsidR="00631DCC" w:rsidRPr="00E52962" w:rsidRDefault="00631DCC" w:rsidP="00631DCC">
      <w:pPr>
        <w:rPr>
          <w:rFonts w:ascii="Arial" w:hAnsi="Arial" w:cs="Arial"/>
          <w:sz w:val="20"/>
          <w:szCs w:val="20"/>
          <w:highlight w:val="yellow"/>
          <w:lang w:val="es-ES"/>
        </w:rPr>
      </w:pPr>
    </w:p>
    <w:p w14:paraId="5B99ECAA" w14:textId="77777777" w:rsidR="00631DCC" w:rsidRPr="00E52962" w:rsidRDefault="00631DCC" w:rsidP="00631DCC">
      <w:pPr>
        <w:spacing w:after="120"/>
        <w:jc w:val="both"/>
        <w:rPr>
          <w:rFonts w:ascii="Arial" w:hAnsi="Arial" w:cs="Arial"/>
          <w:color w:val="000000" w:themeColor="text1"/>
          <w:sz w:val="20"/>
          <w:szCs w:val="20"/>
          <w:lang w:val="es-ES"/>
        </w:rPr>
      </w:pPr>
      <w:r w:rsidRPr="00E52962">
        <w:rPr>
          <w:rFonts w:ascii="Arial" w:hAnsi="Arial" w:cs="Arial"/>
          <w:b/>
          <w:bCs/>
          <w:sz w:val="20"/>
          <w:szCs w:val="20"/>
          <w:lang w:val="es-ES"/>
        </w:rPr>
        <w:t>Socios</w:t>
      </w:r>
    </w:p>
    <w:p w14:paraId="3B1917FD" w14:textId="77777777" w:rsidR="00631DCC" w:rsidRPr="00E52962" w:rsidRDefault="00631DCC" w:rsidP="00631DCC">
      <w:pPr>
        <w:rPr>
          <w:rFonts w:ascii="Arial" w:hAnsi="Arial" w:cs="Arial"/>
          <w:i/>
          <w:iCs/>
          <w:sz w:val="20"/>
          <w:szCs w:val="20"/>
          <w:lang w:val="es-ES"/>
        </w:rPr>
      </w:pPr>
      <w:r w:rsidRPr="00E52962">
        <w:rPr>
          <w:rFonts w:ascii="Arial" w:hAnsi="Arial" w:cs="Arial"/>
          <w:i/>
          <w:iCs/>
          <w:sz w:val="20"/>
          <w:szCs w:val="20"/>
          <w:lang w:val="es-ES"/>
        </w:rPr>
        <w:t>MRI</w:t>
      </w:r>
    </w:p>
    <w:p w14:paraId="4CBA23C5" w14:textId="479B21E7" w:rsidR="00631DCC" w:rsidRPr="00E52962" w:rsidRDefault="00631DCC" w:rsidP="00631DCC">
      <w:pPr>
        <w:rPr>
          <w:rFonts w:ascii="Arial" w:hAnsi="Arial" w:cs="Arial"/>
          <w:sz w:val="20"/>
          <w:szCs w:val="20"/>
          <w:lang w:val="es-ES"/>
        </w:rPr>
      </w:pPr>
      <w:r w:rsidRPr="00E52962">
        <w:rPr>
          <w:rFonts w:ascii="Arial" w:hAnsi="Arial" w:cs="Arial"/>
          <w:sz w:val="20"/>
          <w:szCs w:val="20"/>
          <w:lang w:val="es-ES"/>
        </w:rPr>
        <w:tab/>
        <w:t xml:space="preserve">La Iniciativa de Investigación sobre las Montañas (MRI) sirve de red de coordinación para la colaboración en la investigación, reuniendo a la comunidad mundial de investigación sobre las montañas. Se esfuerza por promover la investigación básica y aplicada para entender cómo los motores y procesos del cambio global presentan desafíos y oportunidades en los sistemas </w:t>
      </w:r>
      <w:proofErr w:type="spellStart"/>
      <w:r w:rsidRPr="00E52962">
        <w:rPr>
          <w:rFonts w:ascii="Arial" w:hAnsi="Arial" w:cs="Arial"/>
          <w:sz w:val="20"/>
          <w:szCs w:val="20"/>
          <w:lang w:val="es-ES"/>
        </w:rPr>
        <w:t>socioecológicos</w:t>
      </w:r>
      <w:proofErr w:type="spellEnd"/>
      <w:r w:rsidRPr="00E52962">
        <w:rPr>
          <w:rFonts w:ascii="Arial" w:hAnsi="Arial" w:cs="Arial"/>
          <w:sz w:val="20"/>
          <w:szCs w:val="20"/>
          <w:lang w:val="es-ES"/>
        </w:rPr>
        <w:t xml:space="preserve"> de montaña.  A través de su Oficina de Coordinación, el MRI mantiene numerosas colaboraciones y redes de investigadores, llevando a cabo acciones que mejoran el perfil y el valor de la investigación sobre el cambio global en las montañas, al tiempo que integra y sintetiza los resultados de esta investigación e informa así a las partes interesadas sobre las implicaciones de estos resultados para la política y la práctica. Más información aquí: </w:t>
      </w:r>
      <w:hyperlink r:id="rId15" w:history="1">
        <w:r w:rsidR="00C73745" w:rsidRPr="00C73745">
          <w:rPr>
            <w:rStyle w:val="Hipervnculo"/>
            <w:rFonts w:ascii="Arial" w:hAnsi="Arial" w:cs="Arial"/>
            <w:sz w:val="20"/>
            <w:szCs w:val="20"/>
            <w:lang w:val="es-ES"/>
          </w:rPr>
          <w:t>https://www.mountainresearchinitiative.org/</w:t>
        </w:r>
      </w:hyperlink>
    </w:p>
    <w:p w14:paraId="1BFB14C2" w14:textId="77777777" w:rsidR="00631DCC" w:rsidRPr="00E52962" w:rsidRDefault="00631DCC" w:rsidP="00631DCC">
      <w:pPr>
        <w:rPr>
          <w:rFonts w:ascii="Arial" w:hAnsi="Arial" w:cs="Arial"/>
          <w:sz w:val="20"/>
          <w:szCs w:val="20"/>
          <w:lang w:val="es-ES"/>
        </w:rPr>
      </w:pPr>
    </w:p>
    <w:p w14:paraId="0A58284D" w14:textId="77777777" w:rsidR="00631DCC" w:rsidRPr="00E52962" w:rsidRDefault="00631DCC" w:rsidP="00631DCC">
      <w:pPr>
        <w:rPr>
          <w:rFonts w:ascii="Arial" w:hAnsi="Arial" w:cs="Arial"/>
          <w:i/>
          <w:iCs/>
          <w:sz w:val="20"/>
          <w:szCs w:val="20"/>
          <w:lang w:val="es-ES"/>
        </w:rPr>
      </w:pPr>
      <w:r w:rsidRPr="00E52962">
        <w:rPr>
          <w:rFonts w:ascii="Arial" w:hAnsi="Arial" w:cs="Arial"/>
          <w:i/>
          <w:iCs/>
          <w:sz w:val="20"/>
          <w:szCs w:val="20"/>
          <w:lang w:val="es-ES"/>
        </w:rPr>
        <w:t>Latinoamerica21</w:t>
      </w:r>
    </w:p>
    <w:p w14:paraId="730ED2EF" w14:textId="0C719CD5" w:rsidR="00631DCC" w:rsidRPr="00E52962" w:rsidRDefault="00631DCC" w:rsidP="00631DCC">
      <w:pPr>
        <w:ind w:firstLine="720"/>
        <w:rPr>
          <w:sz w:val="20"/>
          <w:szCs w:val="20"/>
          <w:lang w:val="es-ES"/>
        </w:rPr>
      </w:pPr>
      <w:r w:rsidRPr="00E52962">
        <w:rPr>
          <w:rFonts w:ascii="Arial" w:hAnsi="Arial" w:cs="Arial"/>
          <w:sz w:val="20"/>
          <w:szCs w:val="20"/>
          <w:lang w:val="es-ES"/>
        </w:rPr>
        <w:t xml:space="preserve">Latinoamerica21 (L21) es un medio de comunicación y una plataforma de contenidos que reúne a una amplia comunidad de expertos y académicos, que producen análisis y opiniones sobre temas políticos, económicos y sociales de América Latina. A través de la libre difusión de opiniones expertas y diversas, L21 pretende contribuir a mejorar la capacidad de juicio crítico de los latinoamericanos sobre los principales temas de relevancia regional. Más información aquí: </w:t>
      </w:r>
      <w:hyperlink r:id="rId16">
        <w:r w:rsidRPr="00E52962">
          <w:rPr>
            <w:rStyle w:val="LinkdaInternet"/>
            <w:rFonts w:ascii="Arial" w:hAnsi="Arial" w:cs="Arial"/>
            <w:sz w:val="20"/>
            <w:szCs w:val="20"/>
            <w:lang w:val="es-ES"/>
          </w:rPr>
          <w:t>https://latinoamerica21.com/</w:t>
        </w:r>
      </w:hyperlink>
    </w:p>
    <w:p w14:paraId="1ABF072C" w14:textId="77777777" w:rsidR="00631DCC" w:rsidRPr="00E52962" w:rsidRDefault="00631DCC" w:rsidP="00631DCC">
      <w:pPr>
        <w:rPr>
          <w:rFonts w:ascii="Arial" w:hAnsi="Arial" w:cs="Arial"/>
          <w:sz w:val="22"/>
          <w:szCs w:val="22"/>
          <w:lang w:val="es-ES"/>
        </w:rPr>
      </w:pPr>
    </w:p>
    <w:p w14:paraId="2D82EFA3" w14:textId="77777777" w:rsidR="00631DCC" w:rsidRPr="00E52962" w:rsidRDefault="00631DCC" w:rsidP="00631DCC">
      <w:pPr>
        <w:spacing w:after="120"/>
        <w:rPr>
          <w:rFonts w:ascii="Arial" w:hAnsi="Arial" w:cs="Arial"/>
          <w:b/>
          <w:bCs/>
          <w:sz w:val="22"/>
          <w:szCs w:val="22"/>
          <w:lang w:val="es-ES"/>
        </w:rPr>
      </w:pPr>
      <w:r w:rsidRPr="00E52962">
        <w:rPr>
          <w:rFonts w:ascii="Arial" w:hAnsi="Arial" w:cs="Arial"/>
          <w:b/>
          <w:bCs/>
          <w:sz w:val="22"/>
          <w:szCs w:val="22"/>
          <w:lang w:val="es-ES"/>
        </w:rPr>
        <w:t>Referencias</w:t>
      </w:r>
    </w:p>
    <w:p w14:paraId="13301317" w14:textId="77777777" w:rsidR="00631DCC" w:rsidRPr="00E52962" w:rsidRDefault="00631DCC" w:rsidP="00631DCC">
      <w:pPr>
        <w:spacing w:after="80"/>
        <w:rPr>
          <w:sz w:val="21"/>
          <w:szCs w:val="21"/>
          <w:lang w:val="es-ES"/>
        </w:rPr>
      </w:pPr>
      <w:proofErr w:type="spellStart"/>
      <w:r w:rsidRPr="00E52962">
        <w:rPr>
          <w:rFonts w:ascii="Arial" w:hAnsi="Arial" w:cs="Arial"/>
          <w:color w:val="222222"/>
          <w:sz w:val="20"/>
          <w:szCs w:val="20"/>
          <w:shd w:val="clear" w:color="auto" w:fill="FFFFFF"/>
          <w:lang w:val="es-ES"/>
        </w:rPr>
        <w:t>Fletcher</w:t>
      </w:r>
      <w:proofErr w:type="spellEnd"/>
      <w:r w:rsidRPr="00E52962">
        <w:rPr>
          <w:rFonts w:ascii="Arial" w:hAnsi="Arial" w:cs="Arial"/>
          <w:color w:val="222222"/>
          <w:sz w:val="20"/>
          <w:szCs w:val="20"/>
          <w:shd w:val="clear" w:color="auto" w:fill="FFFFFF"/>
          <w:lang w:val="es-ES"/>
        </w:rPr>
        <w:t xml:space="preserve">, I. K., Stewart-Ibarra, A. M., García-Díez, M., </w:t>
      </w:r>
      <w:proofErr w:type="spellStart"/>
      <w:r w:rsidRPr="00E52962">
        <w:rPr>
          <w:rFonts w:ascii="Arial" w:hAnsi="Arial" w:cs="Arial"/>
          <w:color w:val="222222"/>
          <w:sz w:val="20"/>
          <w:szCs w:val="20"/>
          <w:shd w:val="clear" w:color="auto" w:fill="FFFFFF"/>
          <w:lang w:val="es-ES"/>
        </w:rPr>
        <w:t>Shumake-Guillemot</w:t>
      </w:r>
      <w:proofErr w:type="spellEnd"/>
      <w:r w:rsidRPr="00E52962">
        <w:rPr>
          <w:rFonts w:ascii="Arial" w:hAnsi="Arial" w:cs="Arial"/>
          <w:color w:val="222222"/>
          <w:sz w:val="20"/>
          <w:szCs w:val="20"/>
          <w:shd w:val="clear" w:color="auto" w:fill="FFFFFF"/>
          <w:lang w:val="es-ES"/>
        </w:rPr>
        <w:t xml:space="preserve">, J., &amp; </w:t>
      </w:r>
      <w:proofErr w:type="spellStart"/>
      <w:r w:rsidRPr="00E52962">
        <w:rPr>
          <w:rFonts w:ascii="Arial" w:hAnsi="Arial" w:cs="Arial"/>
          <w:color w:val="222222"/>
          <w:sz w:val="20"/>
          <w:szCs w:val="20"/>
          <w:shd w:val="clear" w:color="auto" w:fill="FFFFFF"/>
          <w:lang w:val="es-ES"/>
        </w:rPr>
        <w:t>Lowe</w:t>
      </w:r>
      <w:proofErr w:type="spellEnd"/>
      <w:r w:rsidRPr="00E52962">
        <w:rPr>
          <w:rFonts w:ascii="Arial" w:hAnsi="Arial" w:cs="Arial"/>
          <w:color w:val="222222"/>
          <w:sz w:val="20"/>
          <w:szCs w:val="20"/>
          <w:shd w:val="clear" w:color="auto" w:fill="FFFFFF"/>
          <w:lang w:val="es-ES"/>
        </w:rPr>
        <w:t xml:space="preserve">, R. (2021). Servicios climáticos para la salud: </w:t>
      </w:r>
      <w:proofErr w:type="spellStart"/>
      <w:r w:rsidRPr="00E52962">
        <w:rPr>
          <w:rFonts w:ascii="Arial" w:hAnsi="Arial" w:cs="Arial"/>
          <w:color w:val="222222"/>
          <w:sz w:val="20"/>
          <w:szCs w:val="20"/>
          <w:shd w:val="clear" w:color="auto" w:fill="FFFFFF"/>
          <w:lang w:val="es-ES"/>
        </w:rPr>
        <w:t>From</w:t>
      </w:r>
      <w:proofErr w:type="spellEnd"/>
      <w:r w:rsidRPr="00E52962">
        <w:rPr>
          <w:rFonts w:ascii="Arial" w:hAnsi="Arial" w:cs="Arial"/>
          <w:color w:val="222222"/>
          <w:sz w:val="20"/>
          <w:szCs w:val="20"/>
          <w:shd w:val="clear" w:color="auto" w:fill="FFFFFF"/>
          <w:lang w:val="es-ES"/>
        </w:rPr>
        <w:t xml:space="preserve"> global </w:t>
      </w:r>
      <w:proofErr w:type="spellStart"/>
      <w:r w:rsidRPr="00E52962">
        <w:rPr>
          <w:rFonts w:ascii="Arial" w:hAnsi="Arial" w:cs="Arial"/>
          <w:color w:val="222222"/>
          <w:sz w:val="20"/>
          <w:szCs w:val="20"/>
          <w:shd w:val="clear" w:color="auto" w:fill="FFFFFF"/>
          <w:lang w:val="es-ES"/>
        </w:rPr>
        <w:t>observations</w:t>
      </w:r>
      <w:proofErr w:type="spellEnd"/>
      <w:r w:rsidRPr="00E52962">
        <w:rPr>
          <w:rFonts w:ascii="Arial" w:hAnsi="Arial" w:cs="Arial"/>
          <w:color w:val="222222"/>
          <w:sz w:val="20"/>
          <w:szCs w:val="20"/>
          <w:shd w:val="clear" w:color="auto" w:fill="FFFFFF"/>
          <w:lang w:val="es-ES"/>
        </w:rPr>
        <w:t xml:space="preserve"> to local </w:t>
      </w:r>
      <w:proofErr w:type="spellStart"/>
      <w:r w:rsidRPr="00E52962">
        <w:rPr>
          <w:rFonts w:ascii="Arial" w:hAnsi="Arial" w:cs="Arial"/>
          <w:color w:val="222222"/>
          <w:sz w:val="20"/>
          <w:szCs w:val="20"/>
          <w:shd w:val="clear" w:color="auto" w:fill="FFFFFF"/>
          <w:lang w:val="es-ES"/>
        </w:rPr>
        <w:t>interventions</w:t>
      </w:r>
      <w:proofErr w:type="spellEnd"/>
      <w:r w:rsidRPr="00E52962">
        <w:rPr>
          <w:rFonts w:ascii="Arial" w:hAnsi="Arial" w:cs="Arial"/>
          <w:color w:val="222222"/>
          <w:sz w:val="20"/>
          <w:szCs w:val="20"/>
          <w:shd w:val="clear" w:color="auto" w:fill="FFFFFF"/>
          <w:lang w:val="es-ES"/>
        </w:rPr>
        <w:t xml:space="preserve">. </w:t>
      </w:r>
      <w:proofErr w:type="spellStart"/>
      <w:r w:rsidRPr="00E52962">
        <w:rPr>
          <w:rFonts w:ascii="Arial" w:hAnsi="Arial" w:cs="Arial"/>
          <w:color w:val="222222"/>
          <w:sz w:val="20"/>
          <w:szCs w:val="20"/>
          <w:shd w:val="clear" w:color="auto" w:fill="FFFFFF"/>
          <w:lang w:val="es-ES"/>
        </w:rPr>
        <w:t>Med</w:t>
      </w:r>
      <w:proofErr w:type="spellEnd"/>
      <w:r w:rsidRPr="00E52962">
        <w:rPr>
          <w:rFonts w:ascii="Arial" w:hAnsi="Arial" w:cs="Arial"/>
          <w:color w:val="222222"/>
          <w:sz w:val="20"/>
          <w:szCs w:val="20"/>
          <w:shd w:val="clear" w:color="auto" w:fill="FFFFFF"/>
          <w:lang w:val="es-ES"/>
        </w:rPr>
        <w:t xml:space="preserve"> (Nueva York, N.Y.), 2(4), 355-361. </w:t>
      </w:r>
      <w:hyperlink r:id="rId17" w:tgtFrame="_blank">
        <w:r w:rsidRPr="00E52962">
          <w:rPr>
            <w:rStyle w:val="LinkdaInternet"/>
            <w:rFonts w:ascii="Arial" w:hAnsi="Arial" w:cs="Arial"/>
            <w:color w:val="1155CC"/>
            <w:sz w:val="20"/>
            <w:szCs w:val="20"/>
            <w:highlight w:val="white"/>
            <w:lang w:val="es-ES"/>
          </w:rPr>
          <w:t>https://doi.org/10.1016/j.medj.2021.03.010</w:t>
        </w:r>
      </w:hyperlink>
    </w:p>
    <w:p w14:paraId="365908C9" w14:textId="77777777" w:rsidR="00631DCC" w:rsidRDefault="00631DCC" w:rsidP="00631DCC">
      <w:pPr>
        <w:spacing w:after="80"/>
        <w:rPr>
          <w:sz w:val="21"/>
          <w:szCs w:val="21"/>
        </w:rPr>
      </w:pPr>
      <w:r w:rsidRPr="00AB604C">
        <w:rPr>
          <w:rFonts w:ascii="Arial" w:hAnsi="Arial" w:cs="Arial"/>
          <w:color w:val="222222"/>
          <w:sz w:val="20"/>
          <w:szCs w:val="20"/>
          <w:shd w:val="clear" w:color="auto" w:fill="FFFFFF"/>
        </w:rPr>
        <w:t xml:space="preserve">Hess, J., </w:t>
      </w:r>
      <w:proofErr w:type="spellStart"/>
      <w:r w:rsidRPr="00AB604C">
        <w:rPr>
          <w:rFonts w:ascii="Arial" w:hAnsi="Arial" w:cs="Arial"/>
          <w:color w:val="222222"/>
          <w:sz w:val="20"/>
          <w:szCs w:val="20"/>
          <w:shd w:val="clear" w:color="auto" w:fill="FFFFFF"/>
        </w:rPr>
        <w:t>Boodram</w:t>
      </w:r>
      <w:proofErr w:type="spellEnd"/>
      <w:r w:rsidRPr="00AB604C">
        <w:rPr>
          <w:rFonts w:ascii="Arial" w:hAnsi="Arial" w:cs="Arial"/>
          <w:color w:val="222222"/>
          <w:sz w:val="20"/>
          <w:szCs w:val="20"/>
          <w:shd w:val="clear" w:color="auto" w:fill="FFFFFF"/>
        </w:rPr>
        <w:t xml:space="preserve">, L. G., Paz S., Stewart-Ibarra, A. M., </w:t>
      </w:r>
      <w:proofErr w:type="spellStart"/>
      <w:r w:rsidRPr="00AB604C">
        <w:rPr>
          <w:rFonts w:ascii="Arial" w:hAnsi="Arial" w:cs="Arial"/>
          <w:color w:val="222222"/>
          <w:sz w:val="20"/>
          <w:szCs w:val="20"/>
          <w:shd w:val="clear" w:color="auto" w:fill="FFFFFF"/>
        </w:rPr>
        <w:t>Wasserheit</w:t>
      </w:r>
      <w:proofErr w:type="spellEnd"/>
      <w:r w:rsidRPr="00AB604C">
        <w:rPr>
          <w:rFonts w:ascii="Arial" w:hAnsi="Arial" w:cs="Arial"/>
          <w:color w:val="222222"/>
          <w:sz w:val="20"/>
          <w:szCs w:val="20"/>
          <w:shd w:val="clear" w:color="auto" w:fill="FFFFFF"/>
        </w:rPr>
        <w:t xml:space="preserve"> J. N., Lowe R. et al. </w:t>
      </w:r>
      <w:r w:rsidRPr="00E52962">
        <w:rPr>
          <w:rFonts w:ascii="Arial" w:hAnsi="Arial" w:cs="Arial"/>
          <w:color w:val="222222"/>
          <w:sz w:val="20"/>
          <w:szCs w:val="20"/>
          <w:shd w:val="clear" w:color="auto" w:fill="FFFFFF"/>
          <w:lang w:val="es-ES"/>
        </w:rPr>
        <w:t xml:space="preserve">(2020). Fortalecimiento de la respuesta global al cambio climático y a las amenazas de enfermedades </w:t>
      </w:r>
      <w:proofErr w:type="gramStart"/>
      <w:r w:rsidRPr="00E52962">
        <w:rPr>
          <w:rFonts w:ascii="Arial" w:hAnsi="Arial" w:cs="Arial"/>
          <w:color w:val="222222"/>
          <w:sz w:val="20"/>
          <w:szCs w:val="20"/>
          <w:shd w:val="clear" w:color="auto" w:fill="FFFFFF"/>
          <w:lang w:val="es-ES"/>
        </w:rPr>
        <w:t>infecciosas .</w:t>
      </w:r>
      <w:proofErr w:type="gramEnd"/>
      <w:r w:rsidRPr="00E52962">
        <w:rPr>
          <w:rFonts w:ascii="Arial" w:hAnsi="Arial" w:cs="Arial"/>
          <w:color w:val="222222"/>
          <w:sz w:val="20"/>
          <w:szCs w:val="20"/>
          <w:shd w:val="clear" w:color="auto" w:fill="FFFFFF"/>
          <w:lang w:val="es-ES"/>
        </w:rPr>
        <w:t xml:space="preserve"> </w:t>
      </w:r>
      <w:r w:rsidRPr="00AB604C">
        <w:rPr>
          <w:rFonts w:ascii="Arial" w:hAnsi="Arial" w:cs="Arial"/>
          <w:color w:val="222222"/>
          <w:sz w:val="20"/>
          <w:szCs w:val="20"/>
          <w:shd w:val="clear" w:color="auto" w:fill="FFFFFF"/>
        </w:rPr>
        <w:t xml:space="preserve">BMJ; 371:m3081. </w:t>
      </w:r>
      <w:hyperlink r:id="rId18" w:tgtFrame="_blank">
        <w:r w:rsidRPr="00AB604C">
          <w:rPr>
            <w:rStyle w:val="LinkdaInternet"/>
            <w:rFonts w:ascii="Arial" w:hAnsi="Arial" w:cs="Arial"/>
            <w:color w:val="1155CC"/>
            <w:sz w:val="20"/>
            <w:szCs w:val="20"/>
            <w:highlight w:val="white"/>
          </w:rPr>
          <w:t>https://www.bmj.com/content/371/bmj.m3081</w:t>
        </w:r>
      </w:hyperlink>
    </w:p>
    <w:p w14:paraId="10B2E00A" w14:textId="77777777" w:rsidR="00631DCC" w:rsidRPr="00E52962" w:rsidRDefault="00631DCC" w:rsidP="00631DCC">
      <w:pPr>
        <w:spacing w:after="80"/>
        <w:rPr>
          <w:sz w:val="21"/>
          <w:szCs w:val="21"/>
          <w:lang w:val="es-ES"/>
        </w:rPr>
      </w:pPr>
      <w:r w:rsidRPr="00E52962">
        <w:rPr>
          <w:rFonts w:ascii="Arial" w:hAnsi="Arial" w:cs="Arial"/>
          <w:color w:val="222222"/>
          <w:sz w:val="20"/>
          <w:szCs w:val="20"/>
          <w:shd w:val="clear" w:color="auto" w:fill="FFFFFF"/>
        </w:rPr>
        <w:t xml:space="preserve">ORAS CONHU-OPS. </w:t>
      </w:r>
      <w:r w:rsidRPr="00AB604C">
        <w:rPr>
          <w:rFonts w:ascii="Arial" w:hAnsi="Arial" w:cs="Arial"/>
          <w:color w:val="222222"/>
          <w:sz w:val="20"/>
          <w:szCs w:val="20"/>
          <w:shd w:val="clear" w:color="auto" w:fill="FFFFFF"/>
          <w:lang w:val="es-AR"/>
        </w:rPr>
        <w:t xml:space="preserve">Plan andino de salud y cambio climático 2020-2025. Washington, D.C.: Organismo Andino de Salud-Convenio Hipólito </w:t>
      </w:r>
      <w:proofErr w:type="spellStart"/>
      <w:r w:rsidRPr="00AB604C">
        <w:rPr>
          <w:rFonts w:ascii="Arial" w:hAnsi="Arial" w:cs="Arial"/>
          <w:color w:val="222222"/>
          <w:sz w:val="20"/>
          <w:szCs w:val="20"/>
          <w:shd w:val="clear" w:color="auto" w:fill="FFFFFF"/>
          <w:lang w:val="es-AR"/>
        </w:rPr>
        <w:t>Unanue</w:t>
      </w:r>
      <w:proofErr w:type="spellEnd"/>
      <w:r w:rsidRPr="00AB604C">
        <w:rPr>
          <w:rFonts w:ascii="Arial" w:hAnsi="Arial" w:cs="Arial"/>
          <w:color w:val="222222"/>
          <w:sz w:val="20"/>
          <w:szCs w:val="20"/>
          <w:shd w:val="clear" w:color="auto" w:fill="FFFFFF"/>
          <w:lang w:val="es-AR"/>
        </w:rPr>
        <w:t xml:space="preserve"> y Organización Panamericana de la Salud; 2020. </w:t>
      </w:r>
      <w:hyperlink r:id="rId19">
        <w:r w:rsidRPr="00AB604C">
          <w:rPr>
            <w:rStyle w:val="LinkdaInternet"/>
            <w:rFonts w:ascii="Arial" w:hAnsi="Arial" w:cs="Arial"/>
            <w:sz w:val="20"/>
            <w:szCs w:val="20"/>
            <w:highlight w:val="white"/>
            <w:lang w:val="es-AR"/>
          </w:rPr>
          <w:t>https://iris.</w:t>
        </w:r>
      </w:hyperlink>
      <w:r w:rsidRPr="00AB604C">
        <w:rPr>
          <w:rFonts w:ascii="Arial" w:hAnsi="Arial" w:cs="Arial"/>
          <w:color w:val="222222"/>
          <w:sz w:val="20"/>
          <w:szCs w:val="20"/>
          <w:shd w:val="clear" w:color="auto" w:fill="FFFFFF"/>
          <w:lang w:val="es-AR"/>
        </w:rPr>
        <w:t xml:space="preserve">paho.org/handle/10665.2/53077 </w:t>
      </w:r>
    </w:p>
    <w:p w14:paraId="39498B04" w14:textId="77777777" w:rsidR="00631DCC" w:rsidRPr="00E52962" w:rsidRDefault="00631DCC" w:rsidP="00631DCC">
      <w:pPr>
        <w:spacing w:after="80"/>
        <w:rPr>
          <w:sz w:val="21"/>
          <w:szCs w:val="21"/>
          <w:lang w:val="es-ES"/>
        </w:rPr>
      </w:pPr>
      <w:r w:rsidRPr="00E52962">
        <w:rPr>
          <w:rFonts w:ascii="Arial" w:hAnsi="Arial" w:cs="Arial"/>
          <w:color w:val="222222"/>
          <w:sz w:val="20"/>
          <w:szCs w:val="20"/>
          <w:shd w:val="clear" w:color="auto" w:fill="FFFFFF"/>
          <w:lang w:val="es-ES"/>
        </w:rPr>
        <w:t xml:space="preserve">Organización Panamericana de la Salud (2021). Agenda para las Américas sobre Salud, Medio Ambiente y Cambio Climático 2021-2030. </w:t>
      </w:r>
      <w:r w:rsidRPr="00E52962">
        <w:rPr>
          <w:rFonts w:ascii="Arial" w:hAnsi="Arial" w:cs="Arial"/>
          <w:color w:val="333333"/>
          <w:sz w:val="20"/>
          <w:szCs w:val="20"/>
          <w:shd w:val="clear" w:color="auto" w:fill="FFFFFF"/>
          <w:lang w:val="es-ES"/>
        </w:rPr>
        <w:t xml:space="preserve">PAHO/CDE/CE/21-0004. </w:t>
      </w:r>
      <w:hyperlink r:id="rId20">
        <w:r w:rsidRPr="00E52962">
          <w:rPr>
            <w:rStyle w:val="LinkdaInternet"/>
            <w:rFonts w:ascii="Arial" w:hAnsi="Arial" w:cs="Arial"/>
            <w:sz w:val="20"/>
            <w:szCs w:val="20"/>
            <w:highlight w:val="white"/>
            <w:lang w:val="es-ES"/>
          </w:rPr>
          <w:t>https://iris.</w:t>
        </w:r>
      </w:hyperlink>
      <w:r w:rsidRPr="00E52962">
        <w:rPr>
          <w:rFonts w:ascii="Arial" w:hAnsi="Arial" w:cs="Arial"/>
          <w:color w:val="333333"/>
          <w:sz w:val="20"/>
          <w:szCs w:val="20"/>
          <w:shd w:val="clear" w:color="auto" w:fill="FFFFFF"/>
          <w:lang w:val="es-ES"/>
        </w:rPr>
        <w:t xml:space="preserve">paho.org/handle/10665.2/54816  </w:t>
      </w:r>
    </w:p>
    <w:p w14:paraId="5566F8CF" w14:textId="77777777" w:rsidR="00631DCC" w:rsidRDefault="00631DCC" w:rsidP="00631DCC">
      <w:pPr>
        <w:spacing w:after="80"/>
        <w:rPr>
          <w:sz w:val="21"/>
          <w:szCs w:val="21"/>
        </w:rPr>
      </w:pPr>
      <w:r w:rsidRPr="00E52962">
        <w:rPr>
          <w:rFonts w:ascii="Arial" w:hAnsi="Arial" w:cs="Arial"/>
          <w:color w:val="222222"/>
          <w:sz w:val="20"/>
          <w:szCs w:val="20"/>
          <w:shd w:val="clear" w:color="auto" w:fill="FFFFFF"/>
          <w:lang w:val="es-ES"/>
        </w:rPr>
        <w:t xml:space="preserve">Organización Panamericana de la Salud (2021). </w:t>
      </w:r>
      <w:r w:rsidRPr="00AB604C">
        <w:rPr>
          <w:rFonts w:ascii="Arial" w:hAnsi="Arial" w:cs="Arial"/>
          <w:sz w:val="20"/>
          <w:szCs w:val="20"/>
          <w:lang w:val="es-AR"/>
        </w:rPr>
        <w:t xml:space="preserve">Cambio climático para profesionales de la salud: un libro de bolsillo. </w:t>
      </w:r>
      <w:r w:rsidRPr="00E52962">
        <w:rPr>
          <w:rFonts w:ascii="Arial" w:hAnsi="Arial" w:cs="Arial"/>
          <w:sz w:val="20"/>
          <w:szCs w:val="20"/>
        </w:rPr>
        <w:t xml:space="preserve">URI https://iris.paho.org/handle/10665.2/52950. </w:t>
      </w:r>
      <w:hyperlink r:id="rId21">
        <w:r w:rsidRPr="00E52962">
          <w:rPr>
            <w:rStyle w:val="LinkdaInternet"/>
            <w:rFonts w:ascii="Arial" w:hAnsi="Arial" w:cs="Arial"/>
            <w:sz w:val="20"/>
            <w:szCs w:val="20"/>
            <w:highlight w:val="white"/>
          </w:rPr>
          <w:t>https://doi.</w:t>
        </w:r>
      </w:hyperlink>
      <w:r w:rsidRPr="00E52962">
        <w:rPr>
          <w:rFonts w:ascii="Arial" w:hAnsi="Arial" w:cs="Arial"/>
          <w:sz w:val="20"/>
          <w:szCs w:val="20"/>
        </w:rPr>
        <w:t xml:space="preserve">org/10.37774/9789275321843 </w:t>
      </w:r>
    </w:p>
    <w:p w14:paraId="6A640DAA" w14:textId="77777777" w:rsidR="00631DCC" w:rsidRPr="00E52962" w:rsidRDefault="00631DCC" w:rsidP="00631DCC">
      <w:pPr>
        <w:spacing w:after="80"/>
        <w:rPr>
          <w:sz w:val="21"/>
          <w:szCs w:val="21"/>
          <w:lang w:val="es-ES"/>
        </w:rPr>
      </w:pPr>
      <w:r w:rsidRPr="00E52962">
        <w:rPr>
          <w:rFonts w:ascii="Arial" w:hAnsi="Arial" w:cs="Arial"/>
          <w:color w:val="222222"/>
          <w:sz w:val="20"/>
          <w:szCs w:val="20"/>
          <w:shd w:val="clear" w:color="auto" w:fill="FFFFFF"/>
        </w:rPr>
        <w:lastRenderedPageBreak/>
        <w:t xml:space="preserve">Robert, M. A., Stewart-Ibarra, A. M., &amp; </w:t>
      </w:r>
      <w:proofErr w:type="spellStart"/>
      <w:r w:rsidRPr="00E52962">
        <w:rPr>
          <w:rFonts w:ascii="Arial" w:hAnsi="Arial" w:cs="Arial"/>
          <w:color w:val="222222"/>
          <w:sz w:val="20"/>
          <w:szCs w:val="20"/>
          <w:shd w:val="clear" w:color="auto" w:fill="FFFFFF"/>
        </w:rPr>
        <w:t>Estallo</w:t>
      </w:r>
      <w:proofErr w:type="spellEnd"/>
      <w:r w:rsidRPr="00E52962">
        <w:rPr>
          <w:rFonts w:ascii="Arial" w:hAnsi="Arial" w:cs="Arial"/>
          <w:color w:val="222222"/>
          <w:sz w:val="20"/>
          <w:szCs w:val="20"/>
          <w:shd w:val="clear" w:color="auto" w:fill="FFFFFF"/>
        </w:rPr>
        <w:t xml:space="preserve">, E. L. (2020). </w:t>
      </w:r>
      <w:r w:rsidRPr="00AB604C">
        <w:rPr>
          <w:rFonts w:ascii="Arial" w:hAnsi="Arial" w:cs="Arial"/>
          <w:color w:val="222222"/>
          <w:sz w:val="20"/>
          <w:szCs w:val="20"/>
          <w:shd w:val="clear" w:color="auto" w:fill="FFFFFF"/>
        </w:rPr>
        <w:t xml:space="preserve">Climate change and viral emergence: evidence from </w:t>
      </w:r>
      <w:proofErr w:type="spellStart"/>
      <w:r w:rsidRPr="00AB604C">
        <w:rPr>
          <w:rFonts w:ascii="Arial" w:hAnsi="Arial" w:cs="Arial"/>
          <w:color w:val="222222"/>
          <w:sz w:val="20"/>
          <w:szCs w:val="20"/>
          <w:shd w:val="clear" w:color="auto" w:fill="FFFFFF"/>
        </w:rPr>
        <w:t>Aedes</w:t>
      </w:r>
      <w:proofErr w:type="spellEnd"/>
      <w:r w:rsidRPr="00AB604C">
        <w:rPr>
          <w:rFonts w:ascii="Arial" w:hAnsi="Arial" w:cs="Arial"/>
          <w:color w:val="222222"/>
          <w:sz w:val="20"/>
          <w:szCs w:val="20"/>
          <w:shd w:val="clear" w:color="auto" w:fill="FFFFFF"/>
        </w:rPr>
        <w:t xml:space="preserve">-borne arboviruses. </w:t>
      </w:r>
      <w:proofErr w:type="spellStart"/>
      <w:r w:rsidRPr="00AB604C">
        <w:rPr>
          <w:rFonts w:ascii="Arial" w:hAnsi="Arial" w:cs="Arial"/>
          <w:color w:val="222222"/>
          <w:sz w:val="20"/>
          <w:szCs w:val="20"/>
          <w:shd w:val="clear" w:color="auto" w:fill="FFFFFF"/>
          <w:lang w:val="es-AR"/>
        </w:rPr>
        <w:t>Current</w:t>
      </w:r>
      <w:proofErr w:type="spellEnd"/>
      <w:r w:rsidRPr="00AB604C">
        <w:rPr>
          <w:rFonts w:ascii="Arial" w:hAnsi="Arial" w:cs="Arial"/>
          <w:color w:val="222222"/>
          <w:sz w:val="20"/>
          <w:szCs w:val="20"/>
          <w:shd w:val="clear" w:color="auto" w:fill="FFFFFF"/>
          <w:lang w:val="es-AR"/>
        </w:rPr>
        <w:t xml:space="preserve"> </w:t>
      </w:r>
      <w:proofErr w:type="spellStart"/>
      <w:r w:rsidRPr="00AB604C">
        <w:rPr>
          <w:rFonts w:ascii="Arial" w:hAnsi="Arial" w:cs="Arial"/>
          <w:color w:val="222222"/>
          <w:sz w:val="20"/>
          <w:szCs w:val="20"/>
          <w:shd w:val="clear" w:color="auto" w:fill="FFFFFF"/>
          <w:lang w:val="es-AR"/>
        </w:rPr>
        <w:t>opinion</w:t>
      </w:r>
      <w:proofErr w:type="spellEnd"/>
      <w:r w:rsidRPr="00AB604C">
        <w:rPr>
          <w:rFonts w:ascii="Arial" w:hAnsi="Arial" w:cs="Arial"/>
          <w:color w:val="222222"/>
          <w:sz w:val="20"/>
          <w:szCs w:val="20"/>
          <w:shd w:val="clear" w:color="auto" w:fill="FFFFFF"/>
          <w:lang w:val="es-AR"/>
        </w:rPr>
        <w:t xml:space="preserve"> in </w:t>
      </w:r>
      <w:proofErr w:type="spellStart"/>
      <w:r w:rsidRPr="00AB604C">
        <w:rPr>
          <w:rFonts w:ascii="Arial" w:hAnsi="Arial" w:cs="Arial"/>
          <w:color w:val="222222"/>
          <w:sz w:val="20"/>
          <w:szCs w:val="20"/>
          <w:shd w:val="clear" w:color="auto" w:fill="FFFFFF"/>
          <w:lang w:val="es-AR"/>
        </w:rPr>
        <w:t>virology</w:t>
      </w:r>
      <w:proofErr w:type="spellEnd"/>
      <w:r w:rsidRPr="00AB604C">
        <w:rPr>
          <w:rFonts w:ascii="Arial" w:hAnsi="Arial" w:cs="Arial"/>
          <w:color w:val="222222"/>
          <w:sz w:val="20"/>
          <w:szCs w:val="20"/>
          <w:shd w:val="clear" w:color="auto" w:fill="FFFFFF"/>
          <w:lang w:val="es-AR"/>
        </w:rPr>
        <w:t xml:space="preserve">, 40, 41-47. </w:t>
      </w:r>
      <w:hyperlink r:id="rId22" w:tgtFrame="_blank">
        <w:r w:rsidRPr="00AB604C">
          <w:rPr>
            <w:rStyle w:val="LinkdaInternet"/>
            <w:rFonts w:ascii="Arial" w:hAnsi="Arial" w:cs="Arial"/>
            <w:color w:val="1155CC"/>
            <w:sz w:val="20"/>
            <w:szCs w:val="20"/>
            <w:highlight w:val="white"/>
            <w:lang w:val="es-AR"/>
          </w:rPr>
          <w:t>https://doi.org/10.1016/j.coviro.2020.05.001</w:t>
        </w:r>
      </w:hyperlink>
    </w:p>
    <w:p w14:paraId="1B6D2540" w14:textId="77777777" w:rsidR="00631DCC" w:rsidRDefault="005506BC" w:rsidP="00631DCC">
      <w:pPr>
        <w:spacing w:after="80"/>
        <w:rPr>
          <w:rFonts w:ascii="Arial" w:hAnsi="Arial" w:cs="Arial"/>
          <w:color w:val="222222"/>
          <w:sz w:val="20"/>
          <w:szCs w:val="20"/>
          <w:shd w:val="clear" w:color="auto" w:fill="FFFFFF"/>
        </w:rPr>
      </w:pPr>
      <w:hyperlink r:id="rId23">
        <w:r w:rsidR="00631DCC" w:rsidRPr="00AB604C">
          <w:rPr>
            <w:rStyle w:val="LinkdaInternet"/>
            <w:rFonts w:ascii="Arial" w:hAnsi="Arial" w:cs="Arial"/>
            <w:color w:val="222222"/>
            <w:sz w:val="20"/>
            <w:szCs w:val="20"/>
            <w:shd w:val="clear" w:color="auto" w:fill="FFFFFF"/>
            <w:lang w:val="es-AR"/>
          </w:rPr>
          <w:t>Roca Villanueva, B</w:t>
        </w:r>
      </w:hyperlink>
      <w:r w:rsidR="00631DCC" w:rsidRPr="00AB604C">
        <w:rPr>
          <w:rFonts w:ascii="Arial" w:hAnsi="Arial" w:cs="Arial"/>
          <w:color w:val="222222"/>
          <w:sz w:val="20"/>
          <w:szCs w:val="20"/>
          <w:shd w:val="clear" w:color="auto" w:fill="FFFFFF"/>
          <w:lang w:val="es-AR"/>
        </w:rPr>
        <w:t xml:space="preserve">; </w:t>
      </w:r>
      <w:hyperlink r:id="rId24">
        <w:r w:rsidR="00631DCC" w:rsidRPr="00AB604C">
          <w:rPr>
            <w:rStyle w:val="LinkdaInternet"/>
            <w:rFonts w:ascii="Arial" w:hAnsi="Arial" w:cs="Arial"/>
            <w:color w:val="222222"/>
            <w:sz w:val="20"/>
            <w:szCs w:val="20"/>
            <w:shd w:val="clear" w:color="auto" w:fill="FFFFFF"/>
            <w:lang w:val="es-AR"/>
          </w:rPr>
          <w:t>Beltrán Salvador, M</w:t>
        </w:r>
      </w:hyperlink>
      <w:r w:rsidR="00631DCC" w:rsidRPr="00AB604C">
        <w:rPr>
          <w:rFonts w:ascii="Arial" w:hAnsi="Arial" w:cs="Arial"/>
          <w:color w:val="222222"/>
          <w:sz w:val="20"/>
          <w:szCs w:val="20"/>
          <w:shd w:val="clear" w:color="auto" w:fill="FFFFFF"/>
          <w:lang w:val="es-AR"/>
        </w:rPr>
        <w:t xml:space="preserve">; </w:t>
      </w:r>
      <w:hyperlink r:id="rId25">
        <w:r w:rsidR="00631DCC" w:rsidRPr="00AB604C">
          <w:rPr>
            <w:rStyle w:val="LinkdaInternet"/>
            <w:rFonts w:ascii="Arial" w:hAnsi="Arial" w:cs="Arial"/>
            <w:color w:val="222222"/>
            <w:sz w:val="20"/>
            <w:szCs w:val="20"/>
            <w:shd w:val="clear" w:color="auto" w:fill="FFFFFF"/>
            <w:lang w:val="es-AR"/>
          </w:rPr>
          <w:t>Gómez Huelgas, R</w:t>
        </w:r>
      </w:hyperlink>
      <w:r w:rsidR="00631DCC" w:rsidRPr="00AB604C">
        <w:rPr>
          <w:rFonts w:ascii="Arial" w:hAnsi="Arial" w:cs="Arial"/>
          <w:color w:val="222222"/>
          <w:sz w:val="20"/>
          <w:szCs w:val="20"/>
          <w:shd w:val="clear" w:color="auto" w:fill="FFFFFF"/>
          <w:lang w:val="es-AR"/>
        </w:rPr>
        <w:t xml:space="preserve">. </w:t>
      </w:r>
      <w:r w:rsidR="00631DCC" w:rsidRPr="00E52962">
        <w:rPr>
          <w:rFonts w:ascii="Arial" w:hAnsi="Arial" w:cs="Arial"/>
          <w:color w:val="222222"/>
          <w:sz w:val="20"/>
          <w:szCs w:val="20"/>
          <w:shd w:val="clear" w:color="auto" w:fill="FFFFFF"/>
          <w:lang w:val="es-ES"/>
        </w:rPr>
        <w:t xml:space="preserve">Cambio climático y salud. </w:t>
      </w:r>
      <w:hyperlink r:id="rId26" w:tgtFrame="_blank">
        <w:r w:rsidR="00631DCC" w:rsidRPr="00E52962">
          <w:rPr>
            <w:rStyle w:val="LinkdaInternet"/>
            <w:rFonts w:ascii="Arial" w:hAnsi="Arial" w:cs="Arial"/>
            <w:color w:val="222222"/>
            <w:sz w:val="20"/>
            <w:szCs w:val="20"/>
            <w:shd w:val="clear" w:color="auto" w:fill="FFFFFF"/>
            <w:lang w:val="es-ES"/>
          </w:rPr>
          <w:t xml:space="preserve">Rev. clín. esp. (Ed. impr.) </w:t>
        </w:r>
      </w:hyperlink>
      <w:r w:rsidR="00631DCC" w:rsidRPr="00E52962">
        <w:rPr>
          <w:rFonts w:ascii="Arial" w:hAnsi="Arial" w:cs="Arial"/>
          <w:color w:val="222222"/>
          <w:sz w:val="20"/>
          <w:szCs w:val="20"/>
          <w:shd w:val="clear" w:color="auto" w:fill="FFFFFF"/>
          <w:lang w:val="es-ES"/>
        </w:rPr>
        <w:t xml:space="preserve">; 219(5): 260-265, jun.-jul. 2019. </w:t>
      </w:r>
      <w:r w:rsidR="00631DCC" w:rsidRPr="00AB604C">
        <w:rPr>
          <w:rFonts w:ascii="Arial" w:hAnsi="Arial" w:cs="Arial"/>
          <w:color w:val="222222"/>
          <w:sz w:val="20"/>
          <w:szCs w:val="20"/>
          <w:shd w:val="clear" w:color="auto" w:fill="FFFFFF"/>
        </w:rPr>
        <w:t xml:space="preserve">Graf. IBECS | ID: ibc-186562. </w:t>
      </w:r>
      <w:hyperlink r:id="rId27">
        <w:r w:rsidR="00631DCC" w:rsidRPr="00AB604C">
          <w:rPr>
            <w:rStyle w:val="LinkdaInternet"/>
            <w:rFonts w:ascii="Arial" w:hAnsi="Arial" w:cs="Arial"/>
            <w:sz w:val="20"/>
            <w:szCs w:val="20"/>
            <w:highlight w:val="white"/>
          </w:rPr>
          <w:t>https://pesquisa.</w:t>
        </w:r>
      </w:hyperlink>
      <w:r w:rsidR="00631DCC" w:rsidRPr="00AB604C">
        <w:rPr>
          <w:rFonts w:ascii="Arial" w:hAnsi="Arial" w:cs="Arial"/>
          <w:color w:val="222222"/>
          <w:sz w:val="20"/>
          <w:szCs w:val="20"/>
          <w:shd w:val="clear" w:color="auto" w:fill="FFFFFF"/>
        </w:rPr>
        <w:t xml:space="preserve">bvsalud.org/portal/resource/pt/ibc-186562 </w:t>
      </w:r>
    </w:p>
    <w:p w14:paraId="453AD0B5" w14:textId="77777777" w:rsidR="00631DCC" w:rsidRPr="00E52962" w:rsidRDefault="00631DCC" w:rsidP="00631DCC">
      <w:pPr>
        <w:spacing w:after="80"/>
        <w:rPr>
          <w:sz w:val="21"/>
          <w:szCs w:val="21"/>
          <w:lang w:val="es-ES"/>
        </w:rPr>
      </w:pPr>
      <w:proofErr w:type="spellStart"/>
      <w:r w:rsidRPr="00E52962">
        <w:rPr>
          <w:rFonts w:ascii="Arial" w:hAnsi="Arial" w:cs="Arial"/>
          <w:color w:val="222222"/>
          <w:sz w:val="20"/>
          <w:szCs w:val="20"/>
          <w:shd w:val="clear" w:color="auto" w:fill="FFFFFF"/>
          <w:lang w:val="es-ES"/>
        </w:rPr>
        <w:t>Romanello</w:t>
      </w:r>
      <w:proofErr w:type="spellEnd"/>
      <w:r w:rsidRPr="00E52962">
        <w:rPr>
          <w:rFonts w:ascii="Arial" w:hAnsi="Arial" w:cs="Arial"/>
          <w:color w:val="222222"/>
          <w:sz w:val="20"/>
          <w:szCs w:val="20"/>
          <w:shd w:val="clear" w:color="auto" w:fill="FFFFFF"/>
          <w:lang w:val="es-ES"/>
        </w:rPr>
        <w:t xml:space="preserve">, Marina et al. El informe 2021 de la Cuenta atrás de </w:t>
      </w:r>
      <w:proofErr w:type="spellStart"/>
      <w:r w:rsidRPr="00E52962">
        <w:rPr>
          <w:rFonts w:ascii="Arial" w:hAnsi="Arial" w:cs="Arial"/>
          <w:color w:val="222222"/>
          <w:sz w:val="20"/>
          <w:szCs w:val="20"/>
          <w:shd w:val="clear" w:color="auto" w:fill="FFFFFF"/>
          <w:lang w:val="es-ES"/>
        </w:rPr>
        <w:t>Lancet</w:t>
      </w:r>
      <w:proofErr w:type="spellEnd"/>
      <w:r w:rsidRPr="00E52962">
        <w:rPr>
          <w:rFonts w:ascii="Arial" w:hAnsi="Arial" w:cs="Arial"/>
          <w:color w:val="222222"/>
          <w:sz w:val="20"/>
          <w:szCs w:val="20"/>
          <w:shd w:val="clear" w:color="auto" w:fill="FFFFFF"/>
          <w:lang w:val="es-ES"/>
        </w:rPr>
        <w:t xml:space="preserve"> sobre salud y cambio climático: código rojo para un futuro saludable. </w:t>
      </w:r>
      <w:proofErr w:type="spellStart"/>
      <w:r w:rsidRPr="00AB604C">
        <w:rPr>
          <w:rFonts w:ascii="Arial" w:hAnsi="Arial" w:cs="Arial"/>
          <w:color w:val="222222"/>
          <w:sz w:val="20"/>
          <w:szCs w:val="20"/>
          <w:shd w:val="clear" w:color="auto" w:fill="FFFFFF"/>
          <w:lang w:val="es-AR"/>
        </w:rPr>
        <w:t>The</w:t>
      </w:r>
      <w:proofErr w:type="spellEnd"/>
      <w:r w:rsidRPr="00AB604C">
        <w:rPr>
          <w:rFonts w:ascii="Arial" w:hAnsi="Arial" w:cs="Arial"/>
          <w:color w:val="222222"/>
          <w:sz w:val="20"/>
          <w:szCs w:val="20"/>
          <w:shd w:val="clear" w:color="auto" w:fill="FFFFFF"/>
          <w:lang w:val="es-AR"/>
        </w:rPr>
        <w:t xml:space="preserve"> </w:t>
      </w:r>
      <w:proofErr w:type="spellStart"/>
      <w:r w:rsidRPr="00AB604C">
        <w:rPr>
          <w:rFonts w:ascii="Arial" w:hAnsi="Arial" w:cs="Arial"/>
          <w:color w:val="222222"/>
          <w:sz w:val="20"/>
          <w:szCs w:val="20"/>
          <w:shd w:val="clear" w:color="auto" w:fill="FFFFFF"/>
          <w:lang w:val="es-AR"/>
        </w:rPr>
        <w:t>Lancet</w:t>
      </w:r>
      <w:proofErr w:type="spellEnd"/>
      <w:r w:rsidRPr="00AB604C">
        <w:rPr>
          <w:rFonts w:ascii="Arial" w:hAnsi="Arial" w:cs="Arial"/>
          <w:color w:val="222222"/>
          <w:sz w:val="20"/>
          <w:szCs w:val="20"/>
          <w:shd w:val="clear" w:color="auto" w:fill="FFFFFF"/>
          <w:lang w:val="es-AR"/>
        </w:rPr>
        <w:t xml:space="preserve">, volumen 398, número 10311, 1619 - 1662. DOI: </w:t>
      </w:r>
      <w:hyperlink r:id="rId28" w:tgtFrame="_blank">
        <w:r w:rsidRPr="00AB604C">
          <w:rPr>
            <w:rStyle w:val="LinkdaInternet"/>
            <w:rFonts w:ascii="Arial" w:hAnsi="Arial" w:cs="Arial"/>
            <w:color w:val="0071BC"/>
            <w:sz w:val="20"/>
            <w:szCs w:val="20"/>
            <w:lang w:val="es-AR"/>
          </w:rPr>
          <w:t>10.1016/S0140-6736(21)01787-6</w:t>
        </w:r>
      </w:hyperlink>
    </w:p>
    <w:p w14:paraId="7C657C07" w14:textId="77777777" w:rsidR="00631DCC" w:rsidRDefault="00631DCC" w:rsidP="00631DCC">
      <w:pPr>
        <w:spacing w:after="80"/>
        <w:rPr>
          <w:sz w:val="21"/>
          <w:szCs w:val="21"/>
        </w:rPr>
      </w:pPr>
      <w:proofErr w:type="spellStart"/>
      <w:r w:rsidRPr="00AB604C">
        <w:rPr>
          <w:rFonts w:ascii="Arial" w:hAnsi="Arial" w:cs="Arial"/>
          <w:color w:val="222222"/>
          <w:sz w:val="20"/>
          <w:szCs w:val="20"/>
          <w:shd w:val="clear" w:color="auto" w:fill="FFFFFF"/>
          <w:lang w:val="es-AR"/>
        </w:rPr>
        <w:t>Yglesias</w:t>
      </w:r>
      <w:proofErr w:type="spellEnd"/>
      <w:r w:rsidRPr="00AB604C">
        <w:rPr>
          <w:rFonts w:ascii="Arial" w:hAnsi="Arial" w:cs="Arial"/>
          <w:color w:val="222222"/>
          <w:sz w:val="20"/>
          <w:szCs w:val="20"/>
          <w:shd w:val="clear" w:color="auto" w:fill="FFFFFF"/>
          <w:lang w:val="es-AR"/>
        </w:rPr>
        <w:t xml:space="preserve">-González, M., </w:t>
      </w:r>
      <w:proofErr w:type="spellStart"/>
      <w:r w:rsidRPr="00AB604C">
        <w:rPr>
          <w:rFonts w:ascii="Arial" w:hAnsi="Arial" w:cs="Arial"/>
          <w:color w:val="222222"/>
          <w:sz w:val="20"/>
          <w:szCs w:val="20"/>
          <w:shd w:val="clear" w:color="auto" w:fill="FFFFFF"/>
          <w:lang w:val="es-AR"/>
        </w:rPr>
        <w:t>Palmeiro</w:t>
      </w:r>
      <w:proofErr w:type="spellEnd"/>
      <w:r w:rsidRPr="00AB604C">
        <w:rPr>
          <w:rFonts w:ascii="Arial" w:hAnsi="Arial" w:cs="Arial"/>
          <w:color w:val="222222"/>
          <w:sz w:val="20"/>
          <w:szCs w:val="20"/>
          <w:shd w:val="clear" w:color="auto" w:fill="FFFFFF"/>
          <w:lang w:val="es-AR"/>
        </w:rPr>
        <w:t xml:space="preserve">-Silva, Y., </w:t>
      </w:r>
      <w:proofErr w:type="spellStart"/>
      <w:r w:rsidRPr="00AB604C">
        <w:rPr>
          <w:rFonts w:ascii="Arial" w:hAnsi="Arial" w:cs="Arial"/>
          <w:color w:val="222222"/>
          <w:sz w:val="20"/>
          <w:szCs w:val="20"/>
          <w:shd w:val="clear" w:color="auto" w:fill="FFFFFF"/>
          <w:lang w:val="es-AR"/>
        </w:rPr>
        <w:t>Sergeeva</w:t>
      </w:r>
      <w:proofErr w:type="spellEnd"/>
      <w:r w:rsidRPr="00AB604C">
        <w:rPr>
          <w:rFonts w:ascii="Arial" w:hAnsi="Arial" w:cs="Arial"/>
          <w:color w:val="222222"/>
          <w:sz w:val="20"/>
          <w:szCs w:val="20"/>
          <w:shd w:val="clear" w:color="auto" w:fill="FFFFFF"/>
          <w:lang w:val="es-AR"/>
        </w:rPr>
        <w:t xml:space="preserve">, M., Cortés, S., Hurtado-Epstein, A., </w:t>
      </w:r>
      <w:proofErr w:type="spellStart"/>
      <w:r w:rsidRPr="00AB604C">
        <w:rPr>
          <w:rFonts w:ascii="Arial" w:hAnsi="Arial" w:cs="Arial"/>
          <w:color w:val="222222"/>
          <w:sz w:val="20"/>
          <w:szCs w:val="20"/>
          <w:shd w:val="clear" w:color="auto" w:fill="FFFFFF"/>
          <w:lang w:val="es-AR"/>
        </w:rPr>
        <w:t>Buss</w:t>
      </w:r>
      <w:proofErr w:type="spellEnd"/>
      <w:r w:rsidRPr="00AB604C">
        <w:rPr>
          <w:rFonts w:ascii="Arial" w:hAnsi="Arial" w:cs="Arial"/>
          <w:color w:val="222222"/>
          <w:sz w:val="20"/>
          <w:szCs w:val="20"/>
          <w:shd w:val="clear" w:color="auto" w:fill="FFFFFF"/>
          <w:lang w:val="es-AR"/>
        </w:rPr>
        <w:t xml:space="preserve">, D.F., </w:t>
      </w:r>
      <w:proofErr w:type="spellStart"/>
      <w:r w:rsidRPr="00AB604C">
        <w:rPr>
          <w:rFonts w:ascii="Arial" w:hAnsi="Arial" w:cs="Arial"/>
          <w:color w:val="222222"/>
          <w:sz w:val="20"/>
          <w:szCs w:val="20"/>
          <w:shd w:val="clear" w:color="auto" w:fill="FFFFFF"/>
          <w:lang w:val="es-AR"/>
        </w:rPr>
        <w:t>Hartinger</w:t>
      </w:r>
      <w:proofErr w:type="spellEnd"/>
      <w:r w:rsidRPr="00AB604C">
        <w:rPr>
          <w:rFonts w:ascii="Arial" w:hAnsi="Arial" w:cs="Arial"/>
          <w:color w:val="222222"/>
          <w:sz w:val="20"/>
          <w:szCs w:val="20"/>
          <w:shd w:val="clear" w:color="auto" w:fill="FFFFFF"/>
          <w:lang w:val="es-AR"/>
        </w:rPr>
        <w:t xml:space="preserve">, S.M., Red de Clima y Salud de América Latina y el Caribe. </w:t>
      </w:r>
      <w:r w:rsidRPr="00E52962">
        <w:rPr>
          <w:rFonts w:ascii="Arial" w:hAnsi="Arial" w:cs="Arial"/>
          <w:color w:val="222222"/>
          <w:sz w:val="20"/>
          <w:szCs w:val="20"/>
          <w:shd w:val="clear" w:color="auto" w:fill="FFFFFF"/>
          <w:lang w:val="es-ES"/>
        </w:rPr>
        <w:t xml:space="preserve">(2022). Respuesta al Código Rojo para la Salud en América Latina y el Caribe: Mejorando la salud de las personas a través de la acción climática. </w:t>
      </w:r>
      <w:r w:rsidRPr="00AB604C">
        <w:rPr>
          <w:rFonts w:ascii="Arial" w:hAnsi="Arial" w:cs="Arial"/>
          <w:color w:val="222222"/>
          <w:sz w:val="20"/>
          <w:szCs w:val="20"/>
          <w:shd w:val="clear" w:color="auto" w:fill="FFFFFF"/>
        </w:rPr>
        <w:t>The Lancet Regional Health - Americas. 100248. https://doi.org/10.1016/j.lana.2022.100248.</w:t>
      </w:r>
    </w:p>
    <w:p w14:paraId="2C588AC2" w14:textId="50E0A8BF" w:rsidR="003F714C" w:rsidRPr="00631DCC" w:rsidRDefault="003F714C" w:rsidP="00A03B30">
      <w:pPr>
        <w:rPr>
          <w:rFonts w:ascii="Arial" w:hAnsi="Arial" w:cs="Arial"/>
          <w:color w:val="333333"/>
          <w:sz w:val="22"/>
          <w:szCs w:val="22"/>
          <w:highlight w:val="white"/>
        </w:rPr>
      </w:pPr>
    </w:p>
    <w:sectPr w:rsidR="003F714C" w:rsidRPr="00631DCC">
      <w:headerReference w:type="default" r:id="rId29"/>
      <w:footerReference w:type="default" r:id="rId30"/>
      <w:pgSz w:w="12240" w:h="15840"/>
      <w:pgMar w:top="1440" w:right="1440" w:bottom="1440" w:left="1440" w:header="0" w:footer="720"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A3CFB" w16cex:dateUtc="2022-06-08T00:09:00Z"/>
  <w16cex:commentExtensible w16cex:durableId="264AE315" w16cex:dateUtc="2022-06-08T11:57:00Z"/>
  <w16cex:commentExtensible w16cex:durableId="264AE34E" w16cex:dateUtc="2022-06-08T11:58:00Z"/>
  <w16cex:commentExtensible w16cex:durableId="264AE402" w16cex:dateUtc="2022-06-08T12:01:00Z"/>
  <w16cex:commentExtensible w16cex:durableId="264AE592" w16cex:dateUtc="2022-06-08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C79CCC" w16cid:durableId="264A3CFB"/>
  <w16cid:commentId w16cid:paraId="4106FFCB" w16cid:durableId="264AE315"/>
  <w16cid:commentId w16cid:paraId="0AD30E92" w16cid:durableId="264AE34E"/>
  <w16cid:commentId w16cid:paraId="7E2A31F3" w16cid:durableId="264AE402"/>
  <w16cid:commentId w16cid:paraId="4159AFB0" w16cid:durableId="264AE59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57913" w14:textId="77777777" w:rsidR="005506BC" w:rsidRDefault="005506BC">
      <w:r>
        <w:separator/>
      </w:r>
    </w:p>
  </w:endnote>
  <w:endnote w:type="continuationSeparator" w:id="0">
    <w:p w14:paraId="1952B044" w14:textId="77777777" w:rsidR="005506BC" w:rsidRDefault="0055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646379"/>
      <w:docPartObj>
        <w:docPartGallery w:val="Page Numbers (Bottom of Page)"/>
        <w:docPartUnique/>
      </w:docPartObj>
    </w:sdtPr>
    <w:sdtEndPr>
      <w:rPr>
        <w:rFonts w:ascii="Arial" w:hAnsi="Arial" w:cs="Arial"/>
        <w:sz w:val="20"/>
        <w:szCs w:val="20"/>
      </w:rPr>
    </w:sdtEndPr>
    <w:sdtContent>
      <w:p w14:paraId="7A58676E" w14:textId="7E355CEA" w:rsidR="003F714C" w:rsidRDefault="00113977">
        <w:pPr>
          <w:pStyle w:val="Piedepgina"/>
          <w:jc w:val="right"/>
        </w:pPr>
        <w:r w:rsidRPr="00A53B09">
          <w:rPr>
            <w:rFonts w:ascii="Arial" w:hAnsi="Arial" w:cs="Arial"/>
            <w:sz w:val="20"/>
            <w:szCs w:val="20"/>
          </w:rPr>
          <w:fldChar w:fldCharType="begin"/>
        </w:r>
        <w:r w:rsidRPr="00A53B09">
          <w:rPr>
            <w:rFonts w:ascii="Arial" w:hAnsi="Arial" w:cs="Arial"/>
            <w:sz w:val="20"/>
            <w:szCs w:val="20"/>
          </w:rPr>
          <w:instrText>PAGE</w:instrText>
        </w:r>
        <w:r w:rsidRPr="00A53B09">
          <w:rPr>
            <w:rFonts w:ascii="Arial" w:hAnsi="Arial" w:cs="Arial"/>
            <w:sz w:val="20"/>
            <w:szCs w:val="20"/>
          </w:rPr>
          <w:fldChar w:fldCharType="separate"/>
        </w:r>
        <w:r w:rsidR="00326CAC">
          <w:rPr>
            <w:rFonts w:ascii="Arial" w:hAnsi="Arial" w:cs="Arial"/>
            <w:noProof/>
            <w:sz w:val="20"/>
            <w:szCs w:val="20"/>
          </w:rPr>
          <w:t>10</w:t>
        </w:r>
        <w:r w:rsidRPr="00A53B09">
          <w:rPr>
            <w:rFonts w:ascii="Arial" w:hAnsi="Arial" w:cs="Arial"/>
            <w:sz w:val="20"/>
            <w:szCs w:val="20"/>
          </w:rPr>
          <w:fldChar w:fldCharType="end"/>
        </w:r>
      </w:p>
    </w:sdtContent>
  </w:sdt>
  <w:p w14:paraId="2C84D03D" w14:textId="77777777" w:rsidR="003F714C" w:rsidRDefault="003F714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474E0" w14:textId="77777777" w:rsidR="005506BC" w:rsidRDefault="005506BC">
      <w:r>
        <w:separator/>
      </w:r>
    </w:p>
  </w:footnote>
  <w:footnote w:type="continuationSeparator" w:id="0">
    <w:p w14:paraId="2D988418" w14:textId="77777777" w:rsidR="005506BC" w:rsidRDefault="005506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A120" w14:textId="53CE72B7" w:rsidR="005310D7" w:rsidRDefault="005310D7">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D150D" w14:paraId="17B3DAEF" w14:textId="77777777" w:rsidTr="00FD150D">
      <w:tc>
        <w:tcPr>
          <w:tcW w:w="3116" w:type="dxa"/>
          <w:vAlign w:val="center"/>
        </w:tcPr>
        <w:p w14:paraId="3AE10E9F" w14:textId="35C8A594" w:rsidR="005310D7" w:rsidRDefault="005310D7" w:rsidP="00FD150D">
          <w:pPr>
            <w:pStyle w:val="Encabezado"/>
            <w:jc w:val="center"/>
          </w:pPr>
          <w:r>
            <w:rPr>
              <w:noProof/>
            </w:rPr>
            <w:drawing>
              <wp:inline distT="0" distB="0" distL="0" distR="0" wp14:anchorId="6D84F814" wp14:editId="69C98919">
                <wp:extent cx="1653702" cy="84682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63607" cy="851895"/>
                        </a:xfrm>
                        <a:prstGeom prst="rect">
                          <a:avLst/>
                        </a:prstGeom>
                      </pic:spPr>
                    </pic:pic>
                  </a:graphicData>
                </a:graphic>
              </wp:inline>
            </w:drawing>
          </w:r>
        </w:p>
      </w:tc>
      <w:tc>
        <w:tcPr>
          <w:tcW w:w="3117" w:type="dxa"/>
          <w:vAlign w:val="center"/>
        </w:tcPr>
        <w:p w14:paraId="66FAC4DF" w14:textId="6AA4FE5D" w:rsidR="005310D7" w:rsidRDefault="005310D7" w:rsidP="00FD150D">
          <w:pPr>
            <w:pStyle w:val="Encabezado"/>
            <w:jc w:val="center"/>
          </w:pPr>
          <w:r>
            <w:rPr>
              <w:noProof/>
            </w:rPr>
            <w:drawing>
              <wp:inline distT="0" distB="0" distL="0" distR="0" wp14:anchorId="56BF13E5" wp14:editId="7B6B176C">
                <wp:extent cx="933855" cy="8914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939672" cy="896959"/>
                        </a:xfrm>
                        <a:prstGeom prst="rect">
                          <a:avLst/>
                        </a:prstGeom>
                      </pic:spPr>
                    </pic:pic>
                  </a:graphicData>
                </a:graphic>
              </wp:inline>
            </w:drawing>
          </w:r>
        </w:p>
      </w:tc>
      <w:tc>
        <w:tcPr>
          <w:tcW w:w="3117" w:type="dxa"/>
          <w:vAlign w:val="center"/>
        </w:tcPr>
        <w:p w14:paraId="3D5F9A6B" w14:textId="3CBEBBA7" w:rsidR="005310D7" w:rsidRDefault="00FD150D" w:rsidP="00FD150D">
          <w:pPr>
            <w:pStyle w:val="Encabezado"/>
            <w:jc w:val="center"/>
          </w:pPr>
          <w:r>
            <w:rPr>
              <w:noProof/>
            </w:rPr>
            <w:drawing>
              <wp:inline distT="0" distB="0" distL="0" distR="0" wp14:anchorId="7C31D306" wp14:editId="2B2BFB2B">
                <wp:extent cx="1747736" cy="740032"/>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756907" cy="743915"/>
                        </a:xfrm>
                        <a:prstGeom prst="rect">
                          <a:avLst/>
                        </a:prstGeom>
                      </pic:spPr>
                    </pic:pic>
                  </a:graphicData>
                </a:graphic>
              </wp:inline>
            </w:drawing>
          </w:r>
        </w:p>
      </w:tc>
    </w:tr>
  </w:tbl>
  <w:p w14:paraId="3213C108" w14:textId="1053753E" w:rsidR="005310D7" w:rsidRDefault="005310D7">
    <w:pPr>
      <w:pStyle w:val="Encabezado"/>
    </w:pPr>
  </w:p>
  <w:p w14:paraId="6CC58B83" w14:textId="77777777" w:rsidR="00AE772A" w:rsidRDefault="00AE772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73D"/>
    <w:multiLevelType w:val="multilevel"/>
    <w:tmpl w:val="5F9ECA4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AD80E53"/>
    <w:multiLevelType w:val="multilevel"/>
    <w:tmpl w:val="7EA4DD82"/>
    <w:lvl w:ilvl="0">
      <w:start w:val="1"/>
      <w:numFmt w:val="bullet"/>
      <w:lvlText w:val=""/>
      <w:lvlJc w:val="left"/>
      <w:pPr>
        <w:ind w:left="360" w:hanging="360"/>
      </w:pPr>
      <w:rPr>
        <w:rFonts w:ascii="Symbol" w:hAnsi="Symbol" w:cs="Symbol"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6041FD2"/>
    <w:multiLevelType w:val="multilevel"/>
    <w:tmpl w:val="11CC0DBA"/>
    <w:lvl w:ilvl="0">
      <w:start w:val="1"/>
      <w:numFmt w:val="bullet"/>
      <w:lvlText w:val=""/>
      <w:lvlJc w:val="left"/>
      <w:pPr>
        <w:ind w:left="360" w:hanging="360"/>
      </w:pPr>
      <w:rPr>
        <w:rFonts w:ascii="Symbol" w:hAnsi="Symbol" w:cs="Symbol" w:hint="default"/>
        <w:b/>
        <w:sz w:val="22"/>
      </w:rPr>
    </w:lvl>
    <w:lvl w:ilvl="1">
      <w:start w:val="1"/>
      <w:numFmt w:val="bullet"/>
      <w:lvlText w:val="–"/>
      <w:lvlJc w:val="left"/>
      <w:pPr>
        <w:ind w:left="1080" w:hanging="360"/>
      </w:pPr>
      <w:rPr>
        <w:rFonts w:ascii="Arial" w:hAnsi="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9E22370"/>
    <w:multiLevelType w:val="multilevel"/>
    <w:tmpl w:val="504AB4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62478AA"/>
    <w:multiLevelType w:val="multilevel"/>
    <w:tmpl w:val="233E8C4C"/>
    <w:lvl w:ilvl="0">
      <w:start w:val="1"/>
      <w:numFmt w:val="decimal"/>
      <w:lvlText w:val="%1."/>
      <w:lvlJc w:val="left"/>
      <w:pPr>
        <w:ind w:left="720" w:hanging="360"/>
      </w:pPr>
      <w:rPr>
        <w:rFonts w:ascii="Arial" w:hAnsi="Arial"/>
        <w:sz w:val="22"/>
        <w:u w:val="none"/>
      </w:rPr>
    </w:lvl>
    <w:lvl w:ilvl="1">
      <w:start w:val="1"/>
      <w:numFmt w:val="lowerLetter"/>
      <w:lvlText w:val="%2."/>
      <w:lvlJc w:val="left"/>
      <w:pPr>
        <w:ind w:left="1440" w:hanging="360"/>
      </w:pPr>
      <w:rPr>
        <w:rFonts w:ascii="Arial" w:hAnsi="Arial"/>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83134E"/>
    <w:multiLevelType w:val="multilevel"/>
    <w:tmpl w:val="B9D47D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BCB335F"/>
    <w:multiLevelType w:val="multilevel"/>
    <w:tmpl w:val="EA60015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5FA630F3"/>
    <w:multiLevelType w:val="multilevel"/>
    <w:tmpl w:val="4A3425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7B97C02"/>
    <w:multiLevelType w:val="multilevel"/>
    <w:tmpl w:val="6C50CB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751D2B2E"/>
    <w:multiLevelType w:val="multilevel"/>
    <w:tmpl w:val="708C03D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7A6F3445"/>
    <w:multiLevelType w:val="multilevel"/>
    <w:tmpl w:val="04F4767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4"/>
  </w:num>
  <w:num w:numId="3">
    <w:abstractNumId w:val="3"/>
  </w:num>
  <w:num w:numId="4">
    <w:abstractNumId w:val="9"/>
  </w:num>
  <w:num w:numId="5">
    <w:abstractNumId w:val="10"/>
  </w:num>
  <w:num w:numId="6">
    <w:abstractNumId w:val="6"/>
  </w:num>
  <w:num w:numId="7">
    <w:abstractNumId w:val="0"/>
  </w:num>
  <w:num w:numId="8">
    <w:abstractNumId w:val="8"/>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4C"/>
    <w:rsid w:val="00072FD0"/>
    <w:rsid w:val="00086948"/>
    <w:rsid w:val="000A1A42"/>
    <w:rsid w:val="00113977"/>
    <w:rsid w:val="001148F9"/>
    <w:rsid w:val="00136565"/>
    <w:rsid w:val="001556B8"/>
    <w:rsid w:val="001A0773"/>
    <w:rsid w:val="001C2B99"/>
    <w:rsid w:val="001C328B"/>
    <w:rsid w:val="001C7109"/>
    <w:rsid w:val="0029734D"/>
    <w:rsid w:val="002A5DE3"/>
    <w:rsid w:val="002C1ADF"/>
    <w:rsid w:val="002D6E0A"/>
    <w:rsid w:val="002D7006"/>
    <w:rsid w:val="00326CAC"/>
    <w:rsid w:val="003720F4"/>
    <w:rsid w:val="003C54CC"/>
    <w:rsid w:val="003E20A7"/>
    <w:rsid w:val="003F714C"/>
    <w:rsid w:val="00453736"/>
    <w:rsid w:val="005310D7"/>
    <w:rsid w:val="00534DE7"/>
    <w:rsid w:val="005506BC"/>
    <w:rsid w:val="005613E2"/>
    <w:rsid w:val="00587658"/>
    <w:rsid w:val="0059514E"/>
    <w:rsid w:val="006046AC"/>
    <w:rsid w:val="0063198C"/>
    <w:rsid w:val="00631DCC"/>
    <w:rsid w:val="00633A6B"/>
    <w:rsid w:val="006D15DF"/>
    <w:rsid w:val="006E3067"/>
    <w:rsid w:val="00706DA6"/>
    <w:rsid w:val="00731C0D"/>
    <w:rsid w:val="00764E41"/>
    <w:rsid w:val="00790DDA"/>
    <w:rsid w:val="007C0B72"/>
    <w:rsid w:val="007C28DE"/>
    <w:rsid w:val="007D02D2"/>
    <w:rsid w:val="007D6A6E"/>
    <w:rsid w:val="007E4766"/>
    <w:rsid w:val="0082009F"/>
    <w:rsid w:val="008630B1"/>
    <w:rsid w:val="008851CC"/>
    <w:rsid w:val="0089502B"/>
    <w:rsid w:val="008A623B"/>
    <w:rsid w:val="008F6329"/>
    <w:rsid w:val="00907B16"/>
    <w:rsid w:val="0095693D"/>
    <w:rsid w:val="00970E58"/>
    <w:rsid w:val="009A1B1B"/>
    <w:rsid w:val="009A7B05"/>
    <w:rsid w:val="00A03B30"/>
    <w:rsid w:val="00A03E74"/>
    <w:rsid w:val="00A27C28"/>
    <w:rsid w:val="00A355DF"/>
    <w:rsid w:val="00A53B09"/>
    <w:rsid w:val="00A56481"/>
    <w:rsid w:val="00AB604C"/>
    <w:rsid w:val="00AC150C"/>
    <w:rsid w:val="00AE772A"/>
    <w:rsid w:val="00B51DFA"/>
    <w:rsid w:val="00BA51F6"/>
    <w:rsid w:val="00BB0ED1"/>
    <w:rsid w:val="00BD3AE5"/>
    <w:rsid w:val="00BD796B"/>
    <w:rsid w:val="00BE2E41"/>
    <w:rsid w:val="00C065EA"/>
    <w:rsid w:val="00C73441"/>
    <w:rsid w:val="00C73745"/>
    <w:rsid w:val="00C82C3D"/>
    <w:rsid w:val="00CF478D"/>
    <w:rsid w:val="00D0495F"/>
    <w:rsid w:val="00D207A2"/>
    <w:rsid w:val="00D34871"/>
    <w:rsid w:val="00D349BD"/>
    <w:rsid w:val="00DC051B"/>
    <w:rsid w:val="00DC759D"/>
    <w:rsid w:val="00DF5F3B"/>
    <w:rsid w:val="00E01CE1"/>
    <w:rsid w:val="00E2397F"/>
    <w:rsid w:val="00E42081"/>
    <w:rsid w:val="00E62852"/>
    <w:rsid w:val="00F31EAB"/>
    <w:rsid w:val="00FA7B95"/>
    <w:rsid w:val="00FD150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CF46"/>
  <w15:docId w15:val="{F4B89777-DC5B-364D-89BF-0898A099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1B1B"/>
    <w:pPr>
      <w:outlineLvl w:val="0"/>
    </w:pPr>
    <w:rPr>
      <w:rFonts w:ascii="Arial" w:hAnsi="Arial" w:cs="Arial"/>
      <w:b/>
      <w:sz w:val="22"/>
      <w:szCs w:val="22"/>
    </w:rPr>
  </w:style>
  <w:style w:type="paragraph" w:styleId="Ttulo2">
    <w:name w:val="heading 2"/>
    <w:basedOn w:val="Normal"/>
    <w:link w:val="Ttulo2Car"/>
    <w:uiPriority w:val="9"/>
    <w:qFormat/>
    <w:rsid w:val="009A1B1B"/>
    <w:pPr>
      <w:spacing w:after="120"/>
      <w:outlineLvl w:val="1"/>
    </w:pPr>
    <w:rPr>
      <w:rFonts w:ascii="Arial" w:hAnsi="Arial" w:cs="Arial"/>
      <w:b/>
      <w:bCs/>
      <w:sz w:val="22"/>
      <w:szCs w:val="22"/>
      <w:u w:val="single"/>
    </w:rPr>
  </w:style>
  <w:style w:type="paragraph" w:styleId="Ttulo4">
    <w:name w:val="heading 4"/>
    <w:basedOn w:val="Normal"/>
    <w:next w:val="Normal"/>
    <w:link w:val="Ttulo4Car"/>
    <w:uiPriority w:val="9"/>
    <w:semiHidden/>
    <w:unhideWhenUsed/>
    <w:qFormat/>
    <w:rsid w:val="00A9763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nkdaInternet">
    <w:name w:val="Link da Internet"/>
    <w:basedOn w:val="Fuentedeprrafopredeter"/>
    <w:uiPriority w:val="99"/>
    <w:unhideWhenUsed/>
    <w:rsid w:val="002A6C88"/>
    <w:rPr>
      <w:color w:val="0563C1" w:themeColor="hyperlink"/>
      <w:u w:val="single"/>
    </w:rPr>
  </w:style>
  <w:style w:type="character" w:customStyle="1" w:styleId="UnresolvedMention">
    <w:name w:val="Unresolved Mention"/>
    <w:basedOn w:val="Fuentedeprrafopredeter"/>
    <w:uiPriority w:val="99"/>
    <w:semiHidden/>
    <w:unhideWhenUsed/>
    <w:qFormat/>
    <w:rsid w:val="00B7601A"/>
    <w:rPr>
      <w:color w:val="605E5C"/>
      <w:shd w:val="clear" w:color="auto" w:fill="E1DFDD"/>
    </w:rPr>
  </w:style>
  <w:style w:type="character" w:customStyle="1" w:styleId="TextocomentarioCar">
    <w:name w:val="Texto comentario Car"/>
    <w:basedOn w:val="Fuentedeprrafopredeter"/>
    <w:link w:val="Textocomentario"/>
    <w:uiPriority w:val="99"/>
    <w:qFormat/>
    <w:rsid w:val="00B7601A"/>
    <w:rPr>
      <w:rFonts w:ascii="Arial" w:eastAsia="Arial" w:hAnsi="Arial" w:cs="Arial"/>
      <w:sz w:val="20"/>
      <w:szCs w:val="20"/>
      <w:lang w:val="en"/>
    </w:rPr>
  </w:style>
  <w:style w:type="character" w:styleId="Refdecomentario">
    <w:name w:val="annotation reference"/>
    <w:basedOn w:val="Fuentedeprrafopredeter"/>
    <w:uiPriority w:val="99"/>
    <w:semiHidden/>
    <w:unhideWhenUsed/>
    <w:qFormat/>
    <w:rsid w:val="00B7601A"/>
    <w:rPr>
      <w:sz w:val="16"/>
      <w:szCs w:val="16"/>
    </w:rPr>
  </w:style>
  <w:style w:type="character" w:customStyle="1" w:styleId="AsuntodelcomentarioCar">
    <w:name w:val="Asunto del comentario Car"/>
    <w:basedOn w:val="TextocomentarioCar"/>
    <w:link w:val="Asuntodelcomentario"/>
    <w:uiPriority w:val="99"/>
    <w:semiHidden/>
    <w:qFormat/>
    <w:rsid w:val="00B7601A"/>
    <w:rPr>
      <w:rFonts w:ascii="Arial" w:eastAsia="Arial" w:hAnsi="Arial" w:cs="Arial"/>
      <w:b/>
      <w:bCs/>
      <w:sz w:val="20"/>
      <w:szCs w:val="20"/>
      <w:lang w:val="en"/>
    </w:rPr>
  </w:style>
  <w:style w:type="character" w:customStyle="1" w:styleId="PiedepginaCar">
    <w:name w:val="Pie de página Car"/>
    <w:basedOn w:val="Fuentedeprrafopredeter"/>
    <w:link w:val="Piedepgina"/>
    <w:uiPriority w:val="99"/>
    <w:qFormat/>
    <w:rsid w:val="00B7601A"/>
  </w:style>
  <w:style w:type="character" w:styleId="Nmerodepgina">
    <w:name w:val="page number"/>
    <w:basedOn w:val="Fuentedeprrafopredeter"/>
    <w:uiPriority w:val="99"/>
    <w:semiHidden/>
    <w:unhideWhenUsed/>
    <w:qFormat/>
    <w:rsid w:val="00B7601A"/>
  </w:style>
  <w:style w:type="character" w:customStyle="1" w:styleId="ListLabel1">
    <w:name w:val="ListLabel 1"/>
    <w:qFormat/>
    <w:rPr>
      <w:rFonts w:ascii="Arial" w:hAnsi="Arial"/>
      <w:sz w:val="22"/>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Arial" w:eastAsia="Arial" w:hAnsi="Arial"/>
      <w:color w:val="00000A"/>
      <w:sz w:val="22"/>
    </w:rPr>
  </w:style>
  <w:style w:type="character" w:customStyle="1" w:styleId="ListLabel11">
    <w:name w:val="ListLabel 11"/>
    <w:qFormat/>
    <w:rPr>
      <w:rFonts w:eastAsia="Arial"/>
      <w:color w:val="00000A"/>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Arial"/>
      <w:color w:val="00000A"/>
    </w:rPr>
  </w:style>
  <w:style w:type="character" w:customStyle="1" w:styleId="ListLabel25">
    <w:name w:val="ListLabel 25"/>
    <w:qFormat/>
    <w:rPr>
      <w:rFonts w:eastAsia="Arial"/>
      <w:color w:val="00000A"/>
    </w:rPr>
  </w:style>
  <w:style w:type="character" w:customStyle="1" w:styleId="ListLabel26">
    <w:name w:val="ListLabel 26"/>
    <w:qFormat/>
    <w:rPr>
      <w:rFonts w:eastAsia="Arial"/>
      <w:color w:val="00000A"/>
    </w:rPr>
  </w:style>
  <w:style w:type="character" w:customStyle="1" w:styleId="ListLabel27">
    <w:name w:val="ListLabel 27"/>
    <w:qFormat/>
    <w:rPr>
      <w:rFonts w:ascii="Arial" w:hAnsi="Arial"/>
      <w:sz w:val="22"/>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rFonts w:ascii="Arial" w:hAnsi="Arial"/>
      <w:sz w:val="22"/>
      <w:u w:val="none"/>
    </w:rPr>
  </w:style>
  <w:style w:type="character" w:customStyle="1" w:styleId="ListLabel46">
    <w:name w:val="ListLabel 46"/>
    <w:qFormat/>
    <w:rPr>
      <w:rFonts w:ascii="Arial" w:hAnsi="Arial"/>
      <w:sz w:val="22"/>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rFonts w:ascii="Arial" w:hAnsi="Arial"/>
      <w:sz w:val="22"/>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u w:val="none"/>
    </w:rPr>
  </w:style>
  <w:style w:type="character" w:customStyle="1" w:styleId="ListLabel92">
    <w:name w:val="ListLabel 92"/>
    <w:qFormat/>
    <w:rPr>
      <w:u w:val="none"/>
    </w:rPr>
  </w:style>
  <w:style w:type="character" w:customStyle="1" w:styleId="ListLabel93">
    <w:name w:val="ListLabel 93"/>
    <w:qFormat/>
    <w:rPr>
      <w:rFonts w:ascii="Arial" w:hAnsi="Arial"/>
      <w:sz w:val="22"/>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u w:val="none"/>
    </w:rPr>
  </w:style>
  <w:style w:type="character" w:customStyle="1" w:styleId="ListLabel101">
    <w:name w:val="ListLabel 101"/>
    <w:qFormat/>
    <w:rPr>
      <w:u w:val="none"/>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Ttulo2Car">
    <w:name w:val="Título 2 Car"/>
    <w:basedOn w:val="Fuentedeprrafopredeter"/>
    <w:link w:val="Ttulo2"/>
    <w:uiPriority w:val="9"/>
    <w:qFormat/>
    <w:rsid w:val="009A1B1B"/>
    <w:rPr>
      <w:rFonts w:ascii="Arial" w:hAnsi="Arial" w:cs="Arial"/>
      <w:b/>
      <w:bCs/>
      <w:sz w:val="22"/>
      <w:szCs w:val="22"/>
      <w:u w:val="single"/>
    </w:rPr>
  </w:style>
  <w:style w:type="character" w:customStyle="1" w:styleId="Ttulo4Car">
    <w:name w:val="Título 4 Car"/>
    <w:basedOn w:val="Fuentedeprrafopredeter"/>
    <w:link w:val="Ttulo4"/>
    <w:uiPriority w:val="9"/>
    <w:semiHidden/>
    <w:qFormat/>
    <w:rsid w:val="00A9763E"/>
    <w:rPr>
      <w:rFonts w:asciiTheme="majorHAnsi" w:eastAsiaTheme="majorEastAsia" w:hAnsiTheme="majorHAnsi" w:cstheme="majorBidi"/>
      <w:i/>
      <w:iCs/>
      <w:color w:val="2F5496" w:themeColor="accent1" w:themeShade="BF"/>
    </w:rPr>
  </w:style>
  <w:style w:type="character" w:customStyle="1" w:styleId="nfase">
    <w:name w:val="Ênfase"/>
    <w:basedOn w:val="Fuentedeprrafopredeter"/>
    <w:uiPriority w:val="20"/>
    <w:qFormat/>
    <w:rsid w:val="00A9763E"/>
    <w:rPr>
      <w:i/>
      <w:iCs/>
    </w:rPr>
  </w:style>
  <w:style w:type="character" w:customStyle="1" w:styleId="docid">
    <w:name w:val="doc_id"/>
    <w:basedOn w:val="Fuentedeprrafopredeter"/>
    <w:qFormat/>
    <w:rsid w:val="001C0C23"/>
  </w:style>
  <w:style w:type="character" w:customStyle="1" w:styleId="identifier">
    <w:name w:val="identifier"/>
    <w:basedOn w:val="Fuentedeprrafopredeter"/>
    <w:qFormat/>
    <w:rsid w:val="00EC4CF0"/>
  </w:style>
  <w:style w:type="character" w:customStyle="1" w:styleId="EncabezadoCar">
    <w:name w:val="Encabezado Car"/>
    <w:basedOn w:val="Fuentedeprrafopredeter"/>
    <w:link w:val="Encabezado"/>
    <w:uiPriority w:val="99"/>
    <w:qFormat/>
    <w:rsid w:val="001E785E"/>
  </w:style>
  <w:style w:type="character" w:customStyle="1" w:styleId="TextodegloboCar">
    <w:name w:val="Texto de globo Car"/>
    <w:basedOn w:val="Fuentedeprrafopredeter"/>
    <w:link w:val="Textodeglobo"/>
    <w:uiPriority w:val="99"/>
    <w:semiHidden/>
    <w:qFormat/>
    <w:rsid w:val="005A240D"/>
    <w:rPr>
      <w:rFonts w:ascii="Times New Roman" w:hAnsi="Times New Roman" w:cs="Times New Roman"/>
      <w:sz w:val="18"/>
      <w:szCs w:val="18"/>
    </w:rPr>
  </w:style>
  <w:style w:type="character" w:customStyle="1" w:styleId="ListLabel105">
    <w:name w:val="ListLabel 105"/>
    <w:qFormat/>
    <w:rPr>
      <w:rFonts w:cs="Wingdings"/>
      <w:sz w:val="22"/>
      <w:u w:val="none"/>
    </w:rPr>
  </w:style>
  <w:style w:type="character" w:customStyle="1" w:styleId="ListLabel106">
    <w:name w:val="ListLabel 106"/>
    <w:qFormat/>
    <w:rPr>
      <w:rFonts w:cs="Wingdings 2"/>
      <w:u w:val="none"/>
    </w:rPr>
  </w:style>
  <w:style w:type="character" w:customStyle="1" w:styleId="ListLabel107">
    <w:name w:val="ListLabel 107"/>
    <w:qFormat/>
    <w:rPr>
      <w:rFonts w:cs="OpenSymbol"/>
      <w:u w:val="none"/>
    </w:rPr>
  </w:style>
  <w:style w:type="character" w:customStyle="1" w:styleId="ListLabel108">
    <w:name w:val="ListLabel 108"/>
    <w:qFormat/>
    <w:rPr>
      <w:rFonts w:cs="Wingdings"/>
      <w:u w:val="none"/>
    </w:rPr>
  </w:style>
  <w:style w:type="character" w:customStyle="1" w:styleId="ListLabel109">
    <w:name w:val="ListLabel 109"/>
    <w:qFormat/>
    <w:rPr>
      <w:rFonts w:cs="Wingdings 2"/>
      <w:u w:val="none"/>
    </w:rPr>
  </w:style>
  <w:style w:type="character" w:customStyle="1" w:styleId="ListLabel110">
    <w:name w:val="ListLabel 110"/>
    <w:qFormat/>
    <w:rPr>
      <w:rFonts w:cs="OpenSymbol"/>
      <w:u w:val="none"/>
    </w:rPr>
  </w:style>
  <w:style w:type="character" w:customStyle="1" w:styleId="ListLabel111">
    <w:name w:val="ListLabel 111"/>
    <w:qFormat/>
    <w:rPr>
      <w:rFonts w:cs="Wingdings"/>
      <w:u w:val="none"/>
    </w:rPr>
  </w:style>
  <w:style w:type="character" w:customStyle="1" w:styleId="ListLabel112">
    <w:name w:val="ListLabel 112"/>
    <w:qFormat/>
    <w:rPr>
      <w:rFonts w:cs="Wingdings 2"/>
      <w:u w:val="none"/>
    </w:rPr>
  </w:style>
  <w:style w:type="character" w:customStyle="1" w:styleId="ListLabel113">
    <w:name w:val="ListLabel 113"/>
    <w:qFormat/>
    <w:rPr>
      <w:rFonts w:cs="OpenSymbol"/>
      <w:u w:val="none"/>
    </w:rPr>
  </w:style>
  <w:style w:type="character" w:customStyle="1" w:styleId="ListLabel114">
    <w:name w:val="ListLabel 114"/>
    <w:qFormat/>
    <w:rPr>
      <w:rFonts w:eastAsia="Arial"/>
      <w:color w:val="00000A"/>
      <w:sz w:val="22"/>
    </w:rPr>
  </w:style>
  <w:style w:type="character" w:customStyle="1" w:styleId="ListLabel115">
    <w:name w:val="ListLabel 115"/>
    <w:qFormat/>
    <w:rPr>
      <w:rFonts w:ascii="Arial" w:hAnsi="Arial" w:cs="Symbol"/>
      <w:b/>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Wingdings"/>
      <w:sz w:val="22"/>
      <w:u w:val="none"/>
    </w:rPr>
  </w:style>
  <w:style w:type="character" w:customStyle="1" w:styleId="ListLabel125">
    <w:name w:val="ListLabel 125"/>
    <w:qFormat/>
    <w:rPr>
      <w:rFonts w:cs="Wingdings 2"/>
      <w:u w:val="none"/>
    </w:rPr>
  </w:style>
  <w:style w:type="character" w:customStyle="1" w:styleId="ListLabel126">
    <w:name w:val="ListLabel 126"/>
    <w:qFormat/>
    <w:rPr>
      <w:rFonts w:cs="OpenSymbol"/>
      <w:u w:val="none"/>
    </w:rPr>
  </w:style>
  <w:style w:type="character" w:customStyle="1" w:styleId="ListLabel127">
    <w:name w:val="ListLabel 127"/>
    <w:qFormat/>
    <w:rPr>
      <w:rFonts w:cs="Wingdings"/>
      <w:u w:val="none"/>
    </w:rPr>
  </w:style>
  <w:style w:type="character" w:customStyle="1" w:styleId="ListLabel128">
    <w:name w:val="ListLabel 128"/>
    <w:qFormat/>
    <w:rPr>
      <w:rFonts w:cs="Wingdings 2"/>
      <w:u w:val="none"/>
    </w:rPr>
  </w:style>
  <w:style w:type="character" w:customStyle="1" w:styleId="ListLabel129">
    <w:name w:val="ListLabel 129"/>
    <w:qFormat/>
    <w:rPr>
      <w:rFonts w:cs="OpenSymbol"/>
      <w:u w:val="none"/>
    </w:rPr>
  </w:style>
  <w:style w:type="character" w:customStyle="1" w:styleId="ListLabel130">
    <w:name w:val="ListLabel 130"/>
    <w:qFormat/>
    <w:rPr>
      <w:rFonts w:cs="Wingdings"/>
      <w:u w:val="none"/>
    </w:rPr>
  </w:style>
  <w:style w:type="character" w:customStyle="1" w:styleId="ListLabel131">
    <w:name w:val="ListLabel 131"/>
    <w:qFormat/>
    <w:rPr>
      <w:rFonts w:cs="Wingdings 2"/>
      <w:u w:val="none"/>
    </w:rPr>
  </w:style>
  <w:style w:type="character" w:customStyle="1" w:styleId="ListLabel132">
    <w:name w:val="ListLabel 132"/>
    <w:qFormat/>
    <w:rPr>
      <w:rFonts w:cs="OpenSymbol"/>
      <w:u w:val="none"/>
    </w:rPr>
  </w:style>
  <w:style w:type="character" w:customStyle="1" w:styleId="ListLabel133">
    <w:name w:val="ListLabel 133"/>
    <w:qFormat/>
    <w:rPr>
      <w:rFonts w:ascii="Arial" w:hAnsi="Arial"/>
      <w:sz w:val="22"/>
      <w:u w:val="none"/>
    </w:rPr>
  </w:style>
  <w:style w:type="character" w:customStyle="1" w:styleId="ListLabel134">
    <w:name w:val="ListLabel 134"/>
    <w:qFormat/>
    <w:rPr>
      <w:rFonts w:ascii="Arial" w:hAnsi="Arial"/>
      <w:sz w:val="22"/>
      <w:u w:val="none"/>
    </w:rPr>
  </w:style>
  <w:style w:type="character" w:customStyle="1" w:styleId="ListLabel135">
    <w:name w:val="ListLabel 135"/>
    <w:qFormat/>
    <w:rPr>
      <w:u w:val="no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rFonts w:cs="Wingdings"/>
      <w:sz w:val="22"/>
      <w:u w:val="none"/>
    </w:rPr>
  </w:style>
  <w:style w:type="character" w:customStyle="1" w:styleId="ListLabel143">
    <w:name w:val="ListLabel 143"/>
    <w:qFormat/>
    <w:rPr>
      <w:rFonts w:cs="Wingdings 2"/>
      <w:u w:val="none"/>
    </w:rPr>
  </w:style>
  <w:style w:type="character" w:customStyle="1" w:styleId="ListLabel144">
    <w:name w:val="ListLabel 144"/>
    <w:qFormat/>
    <w:rPr>
      <w:rFonts w:cs="OpenSymbol"/>
      <w:u w:val="none"/>
    </w:rPr>
  </w:style>
  <w:style w:type="character" w:customStyle="1" w:styleId="ListLabel145">
    <w:name w:val="ListLabel 145"/>
    <w:qFormat/>
    <w:rPr>
      <w:rFonts w:cs="Wingdings"/>
      <w:u w:val="none"/>
    </w:rPr>
  </w:style>
  <w:style w:type="character" w:customStyle="1" w:styleId="ListLabel146">
    <w:name w:val="ListLabel 146"/>
    <w:qFormat/>
    <w:rPr>
      <w:rFonts w:cs="Wingdings 2"/>
      <w:u w:val="none"/>
    </w:rPr>
  </w:style>
  <w:style w:type="character" w:customStyle="1" w:styleId="ListLabel147">
    <w:name w:val="ListLabel 147"/>
    <w:qFormat/>
    <w:rPr>
      <w:rFonts w:cs="OpenSymbol"/>
      <w:u w:val="none"/>
    </w:rPr>
  </w:style>
  <w:style w:type="character" w:customStyle="1" w:styleId="ListLabel148">
    <w:name w:val="ListLabel 148"/>
    <w:qFormat/>
    <w:rPr>
      <w:rFonts w:cs="Wingdings"/>
      <w:u w:val="none"/>
    </w:rPr>
  </w:style>
  <w:style w:type="character" w:customStyle="1" w:styleId="ListLabel149">
    <w:name w:val="ListLabel 149"/>
    <w:qFormat/>
    <w:rPr>
      <w:rFonts w:cs="Wingdings 2"/>
      <w:u w:val="none"/>
    </w:rPr>
  </w:style>
  <w:style w:type="character" w:customStyle="1" w:styleId="ListLabel150">
    <w:name w:val="ListLabel 150"/>
    <w:qFormat/>
    <w:rPr>
      <w:rFonts w:cs="OpenSymbol"/>
      <w:u w:val="none"/>
    </w:rPr>
  </w:style>
  <w:style w:type="character" w:customStyle="1" w:styleId="ListLabel151">
    <w:name w:val="ListLabel 151"/>
    <w:qFormat/>
    <w:rPr>
      <w:rFonts w:cs="Wingdings"/>
      <w:sz w:val="22"/>
      <w:u w:val="none"/>
    </w:rPr>
  </w:style>
  <w:style w:type="character" w:customStyle="1" w:styleId="ListLabel152">
    <w:name w:val="ListLabel 152"/>
    <w:qFormat/>
    <w:rPr>
      <w:rFonts w:cs="Wingdings 2"/>
      <w:u w:val="none"/>
    </w:rPr>
  </w:style>
  <w:style w:type="character" w:customStyle="1" w:styleId="ListLabel153">
    <w:name w:val="ListLabel 153"/>
    <w:qFormat/>
    <w:rPr>
      <w:rFonts w:cs="OpenSymbol"/>
      <w:u w:val="none"/>
    </w:rPr>
  </w:style>
  <w:style w:type="character" w:customStyle="1" w:styleId="ListLabel154">
    <w:name w:val="ListLabel 154"/>
    <w:qFormat/>
    <w:rPr>
      <w:rFonts w:cs="Wingdings"/>
      <w:u w:val="none"/>
    </w:rPr>
  </w:style>
  <w:style w:type="character" w:customStyle="1" w:styleId="ListLabel155">
    <w:name w:val="ListLabel 155"/>
    <w:qFormat/>
    <w:rPr>
      <w:rFonts w:cs="Wingdings 2"/>
      <w:u w:val="none"/>
    </w:rPr>
  </w:style>
  <w:style w:type="character" w:customStyle="1" w:styleId="ListLabel156">
    <w:name w:val="ListLabel 156"/>
    <w:qFormat/>
    <w:rPr>
      <w:rFonts w:cs="OpenSymbol"/>
      <w:u w:val="none"/>
    </w:rPr>
  </w:style>
  <w:style w:type="character" w:customStyle="1" w:styleId="ListLabel157">
    <w:name w:val="ListLabel 157"/>
    <w:qFormat/>
    <w:rPr>
      <w:rFonts w:cs="Wingdings"/>
      <w:u w:val="none"/>
    </w:rPr>
  </w:style>
  <w:style w:type="character" w:customStyle="1" w:styleId="ListLabel158">
    <w:name w:val="ListLabel 158"/>
    <w:qFormat/>
    <w:rPr>
      <w:rFonts w:cs="Wingdings 2"/>
      <w:u w:val="none"/>
    </w:rPr>
  </w:style>
  <w:style w:type="character" w:customStyle="1" w:styleId="ListLabel159">
    <w:name w:val="ListLabel 159"/>
    <w:qFormat/>
    <w:rPr>
      <w:rFonts w:cs="OpenSymbol"/>
      <w:u w:val="none"/>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paragraph" w:customStyle="1" w:styleId="Ttulo10">
    <w:name w:val="Título1"/>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styleId="Ttulo">
    <w:name w:val="Title"/>
    <w:basedOn w:val="Normal"/>
    <w:next w:val="Textoindependiente"/>
    <w:link w:val="TtuloCar"/>
    <w:qFormat/>
    <w:rsid w:val="009A1B1B"/>
    <w:pPr>
      <w:jc w:val="center"/>
    </w:pPr>
    <w:rPr>
      <w:rFonts w:ascii="Arial" w:hAnsi="Arial" w:cs="Arial"/>
      <w:b/>
      <w:bCs/>
      <w:sz w:val="22"/>
      <w:szCs w:val="22"/>
    </w:rPr>
  </w:style>
  <w:style w:type="paragraph" w:styleId="Prrafodelista">
    <w:name w:val="List Paragraph"/>
    <w:basedOn w:val="Normal"/>
    <w:uiPriority w:val="34"/>
    <w:qFormat/>
    <w:rsid w:val="00B7601A"/>
    <w:pPr>
      <w:ind w:left="720"/>
      <w:contextualSpacing/>
    </w:pPr>
  </w:style>
  <w:style w:type="paragraph" w:styleId="Textocomentario">
    <w:name w:val="annotation text"/>
    <w:basedOn w:val="Normal"/>
    <w:link w:val="TextocomentarioCar"/>
    <w:uiPriority w:val="99"/>
    <w:unhideWhenUsed/>
    <w:qFormat/>
    <w:rsid w:val="00B7601A"/>
    <w:rPr>
      <w:rFonts w:ascii="Arial" w:eastAsia="Arial" w:hAnsi="Arial" w:cs="Arial"/>
      <w:sz w:val="20"/>
      <w:szCs w:val="20"/>
      <w:lang w:val="en"/>
    </w:rPr>
  </w:style>
  <w:style w:type="paragraph" w:styleId="Asuntodelcomentario">
    <w:name w:val="annotation subject"/>
    <w:basedOn w:val="Textocomentario"/>
    <w:link w:val="AsuntodelcomentarioCar"/>
    <w:uiPriority w:val="99"/>
    <w:semiHidden/>
    <w:unhideWhenUsed/>
    <w:qFormat/>
    <w:rsid w:val="00B7601A"/>
    <w:rPr>
      <w:rFonts w:asciiTheme="minorHAnsi" w:eastAsiaTheme="minorHAnsi" w:hAnsiTheme="minorHAnsi" w:cstheme="minorBidi"/>
      <w:b/>
      <w:bCs/>
      <w:lang w:val="en-US"/>
    </w:rPr>
  </w:style>
  <w:style w:type="paragraph" w:styleId="Piedepgina">
    <w:name w:val="footer"/>
    <w:basedOn w:val="Normal"/>
    <w:link w:val="PiedepginaCar"/>
    <w:uiPriority w:val="99"/>
    <w:unhideWhenUsed/>
    <w:rsid w:val="00B7601A"/>
    <w:pPr>
      <w:tabs>
        <w:tab w:val="center" w:pos="4680"/>
        <w:tab w:val="right" w:pos="9360"/>
      </w:tabs>
    </w:pPr>
  </w:style>
  <w:style w:type="paragraph" w:styleId="Revisin">
    <w:name w:val="Revision"/>
    <w:uiPriority w:val="99"/>
    <w:semiHidden/>
    <w:qFormat/>
    <w:rsid w:val="00AB2E4E"/>
  </w:style>
  <w:style w:type="paragraph" w:styleId="NormalWeb">
    <w:name w:val="Normal (Web)"/>
    <w:basedOn w:val="Normal"/>
    <w:uiPriority w:val="99"/>
    <w:unhideWhenUsed/>
    <w:qFormat/>
    <w:rsid w:val="004574B8"/>
    <w:pPr>
      <w:spacing w:beforeAutospacing="1"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1E785E"/>
    <w:pPr>
      <w:tabs>
        <w:tab w:val="center" w:pos="4680"/>
        <w:tab w:val="right" w:pos="9360"/>
      </w:tabs>
    </w:pPr>
  </w:style>
  <w:style w:type="paragraph" w:styleId="Textodeglobo">
    <w:name w:val="Balloon Text"/>
    <w:basedOn w:val="Normal"/>
    <w:link w:val="TextodegloboCar"/>
    <w:uiPriority w:val="99"/>
    <w:semiHidden/>
    <w:unhideWhenUsed/>
    <w:qFormat/>
    <w:rsid w:val="005A240D"/>
    <w:rPr>
      <w:rFonts w:ascii="Times New Roman" w:hAnsi="Times New Roman" w:cs="Times New Roman"/>
      <w:sz w:val="18"/>
      <w:szCs w:val="18"/>
    </w:rPr>
  </w:style>
  <w:style w:type="character" w:customStyle="1" w:styleId="Ttulo1Car">
    <w:name w:val="Título 1 Car"/>
    <w:basedOn w:val="Fuentedeprrafopredeter"/>
    <w:link w:val="Ttulo1"/>
    <w:uiPriority w:val="9"/>
    <w:rsid w:val="009A1B1B"/>
    <w:rPr>
      <w:rFonts w:ascii="Arial" w:hAnsi="Arial" w:cs="Arial"/>
      <w:b/>
      <w:sz w:val="22"/>
      <w:szCs w:val="22"/>
    </w:rPr>
  </w:style>
  <w:style w:type="character" w:styleId="Hipervnculo">
    <w:name w:val="Hyperlink"/>
    <w:basedOn w:val="Fuentedeprrafopredeter"/>
    <w:uiPriority w:val="99"/>
    <w:unhideWhenUsed/>
    <w:rsid w:val="0029734D"/>
    <w:rPr>
      <w:color w:val="0563C1" w:themeColor="hyperlink"/>
      <w:u w:val="single"/>
    </w:rPr>
  </w:style>
  <w:style w:type="table" w:styleId="Tablaconcuadrcula">
    <w:name w:val="Table Grid"/>
    <w:basedOn w:val="Tablanormal"/>
    <w:uiPriority w:val="39"/>
    <w:rsid w:val="0053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95693D"/>
  </w:style>
  <w:style w:type="character" w:customStyle="1" w:styleId="TtuloCar">
    <w:name w:val="Título Car"/>
    <w:basedOn w:val="Fuentedeprrafopredeter"/>
    <w:link w:val="Ttulo"/>
    <w:rsid w:val="00631DCC"/>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8221">
      <w:bodyDiv w:val="1"/>
      <w:marLeft w:val="0"/>
      <w:marRight w:val="0"/>
      <w:marTop w:val="0"/>
      <w:marBottom w:val="0"/>
      <w:divBdr>
        <w:top w:val="none" w:sz="0" w:space="0" w:color="auto"/>
        <w:left w:val="none" w:sz="0" w:space="0" w:color="auto"/>
        <w:bottom w:val="none" w:sz="0" w:space="0" w:color="auto"/>
        <w:right w:val="none" w:sz="0" w:space="0" w:color="auto"/>
      </w:divBdr>
    </w:div>
    <w:div w:id="840437806">
      <w:bodyDiv w:val="1"/>
      <w:marLeft w:val="0"/>
      <w:marRight w:val="0"/>
      <w:marTop w:val="0"/>
      <w:marBottom w:val="0"/>
      <w:divBdr>
        <w:top w:val="none" w:sz="0" w:space="0" w:color="auto"/>
        <w:left w:val="none" w:sz="0" w:space="0" w:color="auto"/>
        <w:bottom w:val="none" w:sz="0" w:space="0" w:color="auto"/>
        <w:right w:val="none" w:sz="0" w:space="0" w:color="auto"/>
      </w:divBdr>
    </w:div>
    <w:div w:id="1276870611">
      <w:bodyDiv w:val="1"/>
      <w:marLeft w:val="0"/>
      <w:marRight w:val="0"/>
      <w:marTop w:val="0"/>
      <w:marBottom w:val="0"/>
      <w:divBdr>
        <w:top w:val="none" w:sz="0" w:space="0" w:color="auto"/>
        <w:left w:val="none" w:sz="0" w:space="0" w:color="auto"/>
        <w:bottom w:val="none" w:sz="0" w:space="0" w:color="auto"/>
        <w:right w:val="none" w:sz="0" w:space="0" w:color="auto"/>
      </w:divBdr>
    </w:div>
    <w:div w:id="1280839516">
      <w:bodyDiv w:val="1"/>
      <w:marLeft w:val="0"/>
      <w:marRight w:val="0"/>
      <w:marTop w:val="0"/>
      <w:marBottom w:val="0"/>
      <w:divBdr>
        <w:top w:val="none" w:sz="0" w:space="0" w:color="auto"/>
        <w:left w:val="none" w:sz="0" w:space="0" w:color="auto"/>
        <w:bottom w:val="none" w:sz="0" w:space="0" w:color="auto"/>
        <w:right w:val="none" w:sz="0" w:space="0" w:color="auto"/>
      </w:divBdr>
    </w:div>
    <w:div w:id="1658455925">
      <w:bodyDiv w:val="1"/>
      <w:marLeft w:val="0"/>
      <w:marRight w:val="0"/>
      <w:marTop w:val="0"/>
      <w:marBottom w:val="0"/>
      <w:divBdr>
        <w:top w:val="none" w:sz="0" w:space="0" w:color="auto"/>
        <w:left w:val="none" w:sz="0" w:space="0" w:color="auto"/>
        <w:bottom w:val="none" w:sz="0" w:space="0" w:color="auto"/>
        <w:right w:val="none" w:sz="0" w:space="0" w:color="auto"/>
      </w:divBdr>
    </w:div>
    <w:div w:id="1693530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ublichealth.columbia.edu/research/global-consortium-climate-and-health-education" TargetMode="External"/><Relationship Id="rId18" Type="http://schemas.openxmlformats.org/officeDocument/2006/relationships/hyperlink" Target="https://www.bmj.com/content/371/bmj.m3081" TargetMode="External"/><Relationship Id="rId26"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cl&#237;n.%20esp.%20(Ed.%20impr.)" TargetMode="External"/><Relationship Id="rId3" Type="http://schemas.openxmlformats.org/officeDocument/2006/relationships/styles" Target="styles.xml"/><Relationship Id="rId21" Type="http://schemas.openxmlformats.org/officeDocument/2006/relationships/hyperlink" Target="https://doi.org/10.37774/9789275321843"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iai.int/pdf/es/Strategicplan-sp.pdf" TargetMode="External"/><Relationship Id="rId17" Type="http://schemas.openxmlformats.org/officeDocument/2006/relationships/hyperlink" Target="https://doi.org/10.1016/j.medj.2021.03.010" TargetMode="External"/><Relationship Id="rId25" Type="http://schemas.openxmlformats.org/officeDocument/2006/relationships/hyperlink" Target="https://pesquisa.bvsalud.org/portal/?lang=en&amp;q=au:%22G&#243;mez%20Huelgas,%20R%22"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latinoamerica21.com/en/" TargetMode="External"/><Relationship Id="rId20" Type="http://schemas.openxmlformats.org/officeDocument/2006/relationships/hyperlink" Target="https://iris.paho.org/handle/10665.2/5481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i.int/es/research/agenda" TargetMode="External"/><Relationship Id="rId24" Type="http://schemas.openxmlformats.org/officeDocument/2006/relationships/hyperlink" Target="https://pesquisa.bvsalud.org/portal/?lang=en&amp;q=au:%22Beltr&#225;n%20Salvador,%20M%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untainresearchinitiative.org/" TargetMode="External"/><Relationship Id="rId23" Type="http://schemas.openxmlformats.org/officeDocument/2006/relationships/hyperlink" Target="https://pesquisa.bvsalud.org/portal/?lang=en&amp;q=au:%22Roca%20Villanueva,%20B%22" TargetMode="External"/><Relationship Id="rId28" Type="http://schemas.openxmlformats.org/officeDocument/2006/relationships/hyperlink" Target="https://doi.org/10.1016/s0140-6736(21)01787-6" TargetMode="External"/><Relationship Id="rId10" Type="http://schemas.openxmlformats.org/officeDocument/2006/relationships/hyperlink" Target="https://www.publichealth.columbia.edu/research/global-consortium-climate-and-health-education/climate-environment-and-health-responders-americas" TargetMode="External"/><Relationship Id="rId19" Type="http://schemas.openxmlformats.org/officeDocument/2006/relationships/hyperlink" Target="https://iris.paho.org/handle/10665.2/5307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ai.int/es/post/detail/CEH-responders-in-the-Americas" TargetMode="External"/><Relationship Id="rId14" Type="http://schemas.openxmlformats.org/officeDocument/2006/relationships/hyperlink" Target="https://www.paho.org/es" TargetMode="External"/><Relationship Id="rId22" Type="http://schemas.openxmlformats.org/officeDocument/2006/relationships/hyperlink" Target="https://doi.org/10.1016/j.coviro.2020.05.001" TargetMode="External"/><Relationship Id="rId27" Type="http://schemas.openxmlformats.org/officeDocument/2006/relationships/hyperlink" Target="https://pesquisa.bvsalud.org/portal/resource/pt/ibc-186562" TargetMode="External"/><Relationship Id="rId30" Type="http://schemas.openxmlformats.org/officeDocument/2006/relationships/footer" Target="footer1.xml"/><Relationship Id="rId8" Type="http://schemas.openxmlformats.org/officeDocument/2006/relationships/hyperlink" Target="https://www.iai.int/pdf/es/Strategicplan-sp.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086FE-96D7-4B5A-B083-9705A207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4405</Words>
  <Characters>25113</Characters>
  <Application>Microsoft Office Word</Application>
  <DocSecurity>0</DocSecurity>
  <Lines>209</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Stewart Ibarra</dc:creator>
  <dc:description/>
  <cp:lastModifiedBy>USUARIO</cp:lastModifiedBy>
  <cp:revision>4</cp:revision>
  <dcterms:created xsi:type="dcterms:W3CDTF">2022-06-17T21:29:00Z</dcterms:created>
  <dcterms:modified xsi:type="dcterms:W3CDTF">2022-06-18T01:51:00Z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